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2B056" w14:textId="3F2ADDC4" w:rsidR="00A81244" w:rsidRDefault="00A81244" w:rsidP="00A81244">
      <w:pPr>
        <w:spacing w:before="100" w:beforeAutospacing="1" w:after="100" w:afterAutospacing="1" w:line="360" w:lineRule="auto"/>
        <w:rPr>
          <w:rFonts w:asciiTheme="minorHAnsi" w:eastAsia="Times New Roman" w:hAnsiTheme="minorHAnsi" w:cs="Arial"/>
          <w:b/>
          <w:bCs/>
          <w:sz w:val="22"/>
          <w:szCs w:val="22"/>
        </w:rPr>
      </w:pPr>
    </w:p>
    <w:p w14:paraId="4C634104" w14:textId="2724ACB7" w:rsidR="00A81244" w:rsidRPr="00491C83" w:rsidRDefault="00A81244" w:rsidP="00A81244">
      <w:pPr>
        <w:spacing w:before="100" w:beforeAutospacing="1" w:after="100" w:afterAutospacing="1" w:line="360" w:lineRule="auto"/>
        <w:rPr>
          <w:rFonts w:asciiTheme="minorHAnsi" w:eastAsia="Times New Roman" w:hAnsiTheme="minorHAnsi" w:cs="Arial"/>
          <w:sz w:val="22"/>
          <w:szCs w:val="22"/>
        </w:rPr>
      </w:pPr>
      <w:proofErr w:type="spellStart"/>
      <w:r w:rsidRPr="00A81244">
        <w:rPr>
          <w:rFonts w:asciiTheme="minorHAnsi" w:eastAsia="Times New Roman" w:hAnsiTheme="minorHAnsi" w:cs="Arial"/>
          <w:b/>
          <w:bCs/>
          <w:sz w:val="22"/>
          <w:szCs w:val="22"/>
        </w:rPr>
        <w:t>HashBank</w:t>
      </w:r>
      <w:proofErr w:type="spellEnd"/>
      <w:r w:rsidRPr="00A81244">
        <w:rPr>
          <w:rFonts w:asciiTheme="minorHAnsi" w:eastAsia="Times New Roman" w:hAnsiTheme="minorHAnsi" w:cs="Arial"/>
          <w:b/>
          <w:bCs/>
          <w:sz w:val="22"/>
          <w:szCs w:val="22"/>
          <w:lang w:val="ka-GE"/>
        </w:rPr>
        <w:t xml:space="preserve"> </w:t>
      </w:r>
      <w:r w:rsidRPr="00A81244">
        <w:rPr>
          <w:rFonts w:asciiTheme="minorHAnsi" w:eastAsia="Times New Roman" w:hAnsiTheme="minorHAnsi" w:cs="Arial"/>
          <w:b/>
          <w:bCs/>
          <w:sz w:val="22"/>
          <w:szCs w:val="22"/>
        </w:rPr>
        <w:t>JSC</w:t>
      </w:r>
      <w:r w:rsidRPr="00A81244">
        <w:rPr>
          <w:rFonts w:asciiTheme="minorHAnsi" w:eastAsia="Times New Roman" w:hAnsiTheme="minorHAnsi" w:cs="Arial"/>
          <w:sz w:val="22"/>
          <w:szCs w:val="22"/>
        </w:rPr>
        <w:br/>
      </w:r>
      <w:r w:rsidRPr="00491C83">
        <w:rPr>
          <w:rFonts w:asciiTheme="minorHAnsi" w:eastAsia="Times New Roman" w:hAnsiTheme="minorHAnsi" w:cs="Arial"/>
          <w:sz w:val="22"/>
          <w:szCs w:val="22"/>
        </w:rPr>
        <w:t xml:space="preserve">Bank Address : 71 </w:t>
      </w:r>
      <w:proofErr w:type="spellStart"/>
      <w:r w:rsidRPr="00491C83">
        <w:rPr>
          <w:rFonts w:asciiTheme="minorHAnsi" w:eastAsia="Times New Roman" w:hAnsiTheme="minorHAnsi" w:cs="Arial"/>
          <w:sz w:val="22"/>
          <w:szCs w:val="22"/>
        </w:rPr>
        <w:t>Vazha</w:t>
      </w:r>
      <w:proofErr w:type="spellEnd"/>
      <w:r w:rsidRPr="00491C83">
        <w:rPr>
          <w:rFonts w:asciiTheme="minorHAnsi" w:eastAsia="Times New Roman" w:hAnsiTheme="minorHAnsi" w:cs="Arial"/>
          <w:sz w:val="22"/>
          <w:szCs w:val="22"/>
        </w:rPr>
        <w:t xml:space="preserve"> </w:t>
      </w:r>
      <w:proofErr w:type="spellStart"/>
      <w:r w:rsidRPr="00491C83">
        <w:rPr>
          <w:rFonts w:asciiTheme="minorHAnsi" w:eastAsia="Times New Roman" w:hAnsiTheme="minorHAnsi" w:cs="Arial"/>
          <w:sz w:val="22"/>
          <w:szCs w:val="22"/>
        </w:rPr>
        <w:t>Pshavela</w:t>
      </w:r>
      <w:proofErr w:type="spellEnd"/>
      <w:r w:rsidRPr="00491C83">
        <w:rPr>
          <w:rFonts w:asciiTheme="minorHAnsi" w:eastAsia="Times New Roman" w:hAnsiTheme="minorHAnsi" w:cs="Arial"/>
          <w:sz w:val="22"/>
          <w:szCs w:val="22"/>
        </w:rPr>
        <w:t xml:space="preserve"> Ave, Tbilisi 0186, Georgia</w:t>
      </w:r>
      <w:r w:rsidRPr="00491C83">
        <w:rPr>
          <w:rFonts w:asciiTheme="minorHAnsi" w:eastAsia="Times New Roman" w:hAnsiTheme="minorHAnsi" w:cs="Arial"/>
          <w:sz w:val="22"/>
          <w:szCs w:val="22"/>
        </w:rPr>
        <w:br/>
        <w:t>Contact Information :</w:t>
      </w:r>
      <w:r w:rsidRPr="00491C83">
        <w:rPr>
          <w:rFonts w:asciiTheme="minorHAnsi" w:hAnsiTheme="minorHAnsi"/>
          <w:sz w:val="22"/>
          <w:szCs w:val="22"/>
        </w:rPr>
        <w:t xml:space="preserve"> </w:t>
      </w:r>
      <w:hyperlink r:id="rId7" w:history="1">
        <w:r w:rsidRPr="00491C83">
          <w:rPr>
            <w:rStyle w:val="Hyperlink"/>
            <w:rFonts w:asciiTheme="minorHAnsi" w:eastAsia="Times New Roman" w:hAnsiTheme="minorHAnsi" w:cs="Arial"/>
            <w:sz w:val="22"/>
            <w:szCs w:val="22"/>
          </w:rPr>
          <w:t>diana.kadaria@hashbank.ge</w:t>
        </w:r>
      </w:hyperlink>
      <w:r w:rsidRPr="00491C83">
        <w:rPr>
          <w:rFonts w:asciiTheme="minorHAnsi" w:eastAsia="Times New Roman" w:hAnsiTheme="minorHAnsi" w:cs="Arial"/>
          <w:sz w:val="22"/>
          <w:szCs w:val="22"/>
          <w:lang w:val="ka-GE"/>
        </w:rPr>
        <w:t xml:space="preserve"> </w:t>
      </w:r>
      <w:r w:rsidRPr="00491C83">
        <w:rPr>
          <w:rFonts w:asciiTheme="minorHAnsi" w:eastAsia="Times New Roman" w:hAnsiTheme="minorHAnsi" w:cs="Arial"/>
          <w:sz w:val="22"/>
          <w:szCs w:val="22"/>
        </w:rPr>
        <w:t xml:space="preserve">, </w:t>
      </w:r>
      <w:hyperlink r:id="rId8" w:history="1">
        <w:r w:rsidRPr="00491C83">
          <w:rPr>
            <w:rStyle w:val="Hyperlink"/>
            <w:rFonts w:asciiTheme="minorHAnsi" w:eastAsia="Times New Roman" w:hAnsiTheme="minorHAnsi" w:cs="Arial"/>
            <w:sz w:val="22"/>
            <w:szCs w:val="22"/>
          </w:rPr>
          <w:t>irakli.dalakishvili@hashbank.ge</w:t>
        </w:r>
      </w:hyperlink>
    </w:p>
    <w:p w14:paraId="086827DC" w14:textId="77777777" w:rsidR="00A81244" w:rsidRDefault="00A81244" w:rsidP="00A81244">
      <w:pPr>
        <w:spacing w:before="100" w:beforeAutospacing="1" w:after="100" w:afterAutospacing="1" w:line="360" w:lineRule="auto"/>
        <w:rPr>
          <w:rFonts w:asciiTheme="minorHAnsi" w:eastAsia="Times New Roman" w:hAnsiTheme="minorHAnsi" w:cs="Arial"/>
          <w:sz w:val="20"/>
          <w:szCs w:val="20"/>
        </w:rPr>
      </w:pPr>
    </w:p>
    <w:p w14:paraId="77D54920" w14:textId="77777777" w:rsidR="00A81244" w:rsidRPr="00A81244" w:rsidRDefault="00A81244" w:rsidP="00A81244">
      <w:pPr>
        <w:spacing w:before="100" w:beforeAutospacing="1" w:after="100" w:afterAutospacing="1" w:line="360" w:lineRule="auto"/>
        <w:rPr>
          <w:rFonts w:asciiTheme="minorHAnsi" w:hAnsiTheme="minorHAnsi" w:cs="Arial"/>
          <w:b/>
          <w:bCs/>
          <w:sz w:val="20"/>
          <w:szCs w:val="20"/>
        </w:rPr>
      </w:pPr>
      <w:bookmarkStart w:id="0" w:name="_GoBack"/>
      <w:bookmarkEnd w:id="0"/>
    </w:p>
    <w:p w14:paraId="2CC8D005" w14:textId="1F39649B" w:rsidR="00A81244" w:rsidRPr="00A81244" w:rsidRDefault="00A81244" w:rsidP="00A81244">
      <w:pPr>
        <w:spacing w:before="100" w:beforeAutospacing="1" w:after="100" w:afterAutospacing="1" w:line="360" w:lineRule="auto"/>
        <w:rPr>
          <w:rFonts w:asciiTheme="minorHAnsi" w:hAnsiTheme="minorHAnsi" w:cs="Arial"/>
          <w:b/>
          <w:bCs/>
          <w:sz w:val="22"/>
          <w:szCs w:val="22"/>
        </w:rPr>
      </w:pPr>
      <w:r w:rsidRPr="00A81244">
        <w:rPr>
          <w:rFonts w:asciiTheme="minorHAnsi" w:hAnsiTheme="minorHAnsi" w:cs="Arial"/>
          <w:b/>
          <w:bCs/>
          <w:sz w:val="22"/>
          <w:szCs w:val="22"/>
        </w:rPr>
        <w:t>Tender Process Timeline</w:t>
      </w:r>
    </w:p>
    <w:p w14:paraId="2EE10DEF" w14:textId="5BA67C68" w:rsidR="00A81244" w:rsidRPr="00A81244" w:rsidRDefault="00A81244" w:rsidP="00A81244">
      <w:pPr>
        <w:spacing w:before="100" w:beforeAutospacing="1" w:after="100" w:afterAutospacing="1" w:line="360" w:lineRule="auto"/>
        <w:rPr>
          <w:rFonts w:asciiTheme="minorHAnsi" w:hAnsiTheme="minorHAnsi" w:cs="Arial"/>
          <w:sz w:val="22"/>
          <w:szCs w:val="22"/>
        </w:rPr>
      </w:pPr>
      <w:r w:rsidRPr="00A81244">
        <w:rPr>
          <w:rFonts w:asciiTheme="minorHAnsi" w:hAnsiTheme="minorHAnsi" w:cs="Arial"/>
          <w:sz w:val="22"/>
          <w:szCs w:val="22"/>
        </w:rPr>
        <w:t xml:space="preserve">Tender Announcement: ............................................................ </w:t>
      </w:r>
      <w:r w:rsidRPr="00A81244">
        <w:rPr>
          <w:rFonts w:asciiTheme="minorHAnsi" w:hAnsiTheme="minorHAnsi" w:cs="Arial"/>
          <w:b/>
          <w:bCs/>
          <w:sz w:val="22"/>
          <w:szCs w:val="22"/>
        </w:rPr>
        <w:t>June 9, 2025</w:t>
      </w:r>
      <w:r w:rsidRPr="00A81244">
        <w:rPr>
          <w:rFonts w:asciiTheme="minorHAnsi" w:hAnsiTheme="minorHAnsi" w:cs="Arial"/>
          <w:sz w:val="22"/>
          <w:szCs w:val="22"/>
        </w:rPr>
        <w:t xml:space="preserve"> </w:t>
      </w:r>
    </w:p>
    <w:p w14:paraId="0AE0538F" w14:textId="421954F5" w:rsidR="00A81244" w:rsidRPr="00A81244" w:rsidRDefault="00A81244" w:rsidP="00A81244">
      <w:pPr>
        <w:spacing w:before="100" w:beforeAutospacing="1" w:after="100" w:afterAutospacing="1" w:line="360" w:lineRule="auto"/>
        <w:rPr>
          <w:rFonts w:asciiTheme="minorHAnsi" w:hAnsiTheme="minorHAnsi" w:cs="Arial"/>
          <w:b/>
          <w:bCs/>
          <w:sz w:val="22"/>
          <w:szCs w:val="22"/>
        </w:rPr>
      </w:pPr>
      <w:r w:rsidRPr="00A81244">
        <w:rPr>
          <w:rFonts w:asciiTheme="minorHAnsi" w:hAnsiTheme="minorHAnsi" w:cs="Arial"/>
          <w:sz w:val="22"/>
          <w:szCs w:val="22"/>
        </w:rPr>
        <w:t xml:space="preserve">Submission Deadline for Proposals: .................................... </w:t>
      </w:r>
      <w:r w:rsidRPr="00A81244">
        <w:rPr>
          <w:rFonts w:asciiTheme="minorHAnsi" w:hAnsiTheme="minorHAnsi" w:cs="Arial"/>
          <w:b/>
          <w:bCs/>
          <w:sz w:val="22"/>
          <w:szCs w:val="22"/>
        </w:rPr>
        <w:t>June 23, 2025</w:t>
      </w:r>
    </w:p>
    <w:p w14:paraId="60DD14EB" w14:textId="1C785404" w:rsidR="00A81244" w:rsidRDefault="00A81244" w:rsidP="00A81244">
      <w:pPr>
        <w:spacing w:before="100" w:beforeAutospacing="1" w:after="100" w:afterAutospacing="1" w:line="360" w:lineRule="auto"/>
        <w:rPr>
          <w:rFonts w:asciiTheme="minorHAnsi" w:hAnsiTheme="minorHAnsi" w:cs="Arial"/>
          <w:b/>
          <w:bCs/>
          <w:sz w:val="20"/>
          <w:szCs w:val="20"/>
        </w:rPr>
      </w:pPr>
    </w:p>
    <w:p w14:paraId="4F3BCC5C" w14:textId="441BB406" w:rsidR="00A81244" w:rsidRDefault="00A81244" w:rsidP="00A81244">
      <w:pPr>
        <w:spacing w:before="100" w:beforeAutospacing="1" w:after="100" w:afterAutospacing="1" w:line="360" w:lineRule="auto"/>
        <w:rPr>
          <w:rFonts w:asciiTheme="minorHAnsi" w:hAnsiTheme="minorHAnsi" w:cs="Arial"/>
          <w:b/>
          <w:bCs/>
          <w:sz w:val="20"/>
          <w:szCs w:val="20"/>
        </w:rPr>
      </w:pPr>
    </w:p>
    <w:p w14:paraId="75D61268" w14:textId="308D23E2" w:rsidR="00A81244" w:rsidRDefault="00A81244" w:rsidP="00A81244">
      <w:pPr>
        <w:spacing w:before="100" w:beforeAutospacing="1" w:after="100" w:afterAutospacing="1" w:line="360" w:lineRule="auto"/>
        <w:rPr>
          <w:rFonts w:asciiTheme="minorHAnsi" w:hAnsiTheme="minorHAnsi" w:cs="Arial"/>
          <w:b/>
          <w:bCs/>
          <w:sz w:val="20"/>
          <w:szCs w:val="20"/>
        </w:rPr>
      </w:pPr>
    </w:p>
    <w:p w14:paraId="31A65192" w14:textId="549417EB" w:rsidR="00A81244" w:rsidRDefault="00A81244" w:rsidP="00A81244">
      <w:pPr>
        <w:spacing w:before="100" w:beforeAutospacing="1" w:after="100" w:afterAutospacing="1" w:line="360" w:lineRule="auto"/>
        <w:rPr>
          <w:rFonts w:asciiTheme="minorHAnsi" w:hAnsiTheme="minorHAnsi" w:cs="Arial"/>
          <w:b/>
          <w:bCs/>
          <w:sz w:val="20"/>
          <w:szCs w:val="20"/>
        </w:rPr>
      </w:pPr>
    </w:p>
    <w:p w14:paraId="50666FF5" w14:textId="04E1DED4" w:rsidR="00A81244" w:rsidRDefault="00A81244" w:rsidP="00A81244">
      <w:pPr>
        <w:spacing w:before="100" w:beforeAutospacing="1" w:after="100" w:afterAutospacing="1" w:line="360" w:lineRule="auto"/>
        <w:rPr>
          <w:rFonts w:asciiTheme="minorHAnsi" w:hAnsiTheme="minorHAnsi" w:cs="Arial"/>
          <w:b/>
          <w:bCs/>
          <w:sz w:val="20"/>
          <w:szCs w:val="20"/>
        </w:rPr>
      </w:pPr>
    </w:p>
    <w:p w14:paraId="682E0FCE" w14:textId="4A2132CB" w:rsidR="00A81244" w:rsidRDefault="00A81244" w:rsidP="00A81244">
      <w:pPr>
        <w:spacing w:before="100" w:beforeAutospacing="1" w:after="100" w:afterAutospacing="1" w:line="360" w:lineRule="auto"/>
        <w:rPr>
          <w:rFonts w:asciiTheme="minorHAnsi" w:hAnsiTheme="minorHAnsi" w:cs="Arial"/>
          <w:b/>
          <w:bCs/>
          <w:sz w:val="20"/>
          <w:szCs w:val="20"/>
        </w:rPr>
      </w:pPr>
    </w:p>
    <w:p w14:paraId="76A6713B" w14:textId="6A52DC51" w:rsidR="00A81244" w:rsidRDefault="00A81244" w:rsidP="00A81244">
      <w:pPr>
        <w:spacing w:before="100" w:beforeAutospacing="1" w:after="100" w:afterAutospacing="1" w:line="360" w:lineRule="auto"/>
        <w:rPr>
          <w:rFonts w:asciiTheme="minorHAnsi" w:hAnsiTheme="minorHAnsi" w:cs="Arial"/>
          <w:b/>
          <w:bCs/>
          <w:sz w:val="20"/>
          <w:szCs w:val="20"/>
        </w:rPr>
      </w:pPr>
    </w:p>
    <w:p w14:paraId="07DB013F" w14:textId="6A8A83C3" w:rsidR="00A81244" w:rsidRDefault="00A81244" w:rsidP="00A81244">
      <w:pPr>
        <w:spacing w:before="100" w:beforeAutospacing="1" w:after="100" w:afterAutospacing="1" w:line="360" w:lineRule="auto"/>
        <w:rPr>
          <w:rFonts w:asciiTheme="minorHAnsi" w:hAnsiTheme="minorHAnsi" w:cs="Arial"/>
          <w:b/>
          <w:bCs/>
          <w:sz w:val="20"/>
          <w:szCs w:val="20"/>
        </w:rPr>
      </w:pPr>
    </w:p>
    <w:p w14:paraId="5EEDCEB1" w14:textId="77777777" w:rsidR="00A81244" w:rsidRDefault="00A81244" w:rsidP="00A81244">
      <w:pPr>
        <w:spacing w:before="100" w:beforeAutospacing="1" w:after="100" w:afterAutospacing="1" w:line="360" w:lineRule="auto"/>
        <w:rPr>
          <w:rFonts w:asciiTheme="minorHAnsi" w:hAnsiTheme="minorHAnsi" w:cs="Arial"/>
          <w:b/>
          <w:bCs/>
          <w:sz w:val="20"/>
          <w:szCs w:val="20"/>
        </w:rPr>
      </w:pPr>
    </w:p>
    <w:p w14:paraId="0B4B9185" w14:textId="6D1A4ABE" w:rsidR="00A81244" w:rsidRDefault="00A81244" w:rsidP="00A81244">
      <w:pPr>
        <w:spacing w:before="100" w:beforeAutospacing="1" w:after="100" w:afterAutospacing="1" w:line="360" w:lineRule="auto"/>
        <w:rPr>
          <w:rFonts w:asciiTheme="minorHAnsi" w:hAnsiTheme="minorHAnsi" w:cs="Arial"/>
          <w:b/>
          <w:bCs/>
          <w:sz w:val="20"/>
          <w:szCs w:val="20"/>
        </w:rPr>
      </w:pPr>
    </w:p>
    <w:p w14:paraId="24B25A67" w14:textId="77777777" w:rsidR="00A81244" w:rsidRPr="00A81244" w:rsidRDefault="00A81244" w:rsidP="00A81244">
      <w:pPr>
        <w:spacing w:before="100" w:beforeAutospacing="1" w:after="100" w:afterAutospacing="1" w:line="360" w:lineRule="auto"/>
        <w:rPr>
          <w:rFonts w:asciiTheme="minorHAnsi" w:hAnsiTheme="minorHAnsi" w:cs="Arial"/>
          <w:b/>
          <w:bCs/>
          <w:sz w:val="20"/>
          <w:szCs w:val="20"/>
          <w:lang w:val="ka-GE"/>
        </w:rPr>
      </w:pPr>
    </w:p>
    <w:p w14:paraId="079A2391" w14:textId="77777777" w:rsidR="000B57CF" w:rsidRPr="00A81244" w:rsidRDefault="000B57CF" w:rsidP="000B57CF">
      <w:pPr>
        <w:rPr>
          <w:rFonts w:ascii="Sylfaen" w:hAnsi="Sylfaen"/>
          <w:sz w:val="22"/>
          <w:szCs w:val="22"/>
          <w:lang w:val="ka-GE"/>
        </w:rPr>
      </w:pPr>
    </w:p>
    <w:tbl>
      <w:tblPr>
        <w:tblStyle w:val="TableGrid"/>
        <w:tblW w:w="0" w:type="auto"/>
        <w:tblLook w:val="04A0" w:firstRow="1" w:lastRow="0" w:firstColumn="1" w:lastColumn="0" w:noHBand="0" w:noVBand="1"/>
      </w:tblPr>
      <w:tblGrid>
        <w:gridCol w:w="3330"/>
        <w:gridCol w:w="1530"/>
      </w:tblGrid>
      <w:tr w:rsidR="000B57CF" w:rsidRPr="0064552D" w14:paraId="2440B6A2" w14:textId="77777777" w:rsidTr="00A81244">
        <w:tc>
          <w:tcPr>
            <w:tcW w:w="3330" w:type="dxa"/>
          </w:tcPr>
          <w:p w14:paraId="3F5338EF" w14:textId="77777777" w:rsidR="000B57CF" w:rsidRPr="001F68DA" w:rsidRDefault="000B57CF" w:rsidP="000235F8">
            <w:pPr>
              <w:jc w:val="center"/>
              <w:rPr>
                <w:rFonts w:asciiTheme="minorHAnsi" w:hAnsiTheme="minorHAnsi"/>
                <w:b/>
                <w:sz w:val="22"/>
                <w:szCs w:val="22"/>
              </w:rPr>
            </w:pPr>
            <w:r w:rsidRPr="001F68DA">
              <w:rPr>
                <w:rFonts w:asciiTheme="minorHAnsi" w:hAnsiTheme="minorHAnsi"/>
                <w:b/>
                <w:sz w:val="22"/>
                <w:szCs w:val="22"/>
              </w:rPr>
              <w:lastRenderedPageBreak/>
              <w:t>Item</w:t>
            </w:r>
          </w:p>
        </w:tc>
        <w:tc>
          <w:tcPr>
            <w:tcW w:w="1530" w:type="dxa"/>
          </w:tcPr>
          <w:p w14:paraId="76BBF8B2" w14:textId="77777777" w:rsidR="000B57CF" w:rsidRPr="001F68DA" w:rsidRDefault="000B57CF" w:rsidP="000235F8">
            <w:pPr>
              <w:jc w:val="center"/>
              <w:rPr>
                <w:rFonts w:asciiTheme="minorHAnsi" w:hAnsiTheme="minorHAnsi"/>
                <w:b/>
                <w:sz w:val="22"/>
                <w:szCs w:val="22"/>
              </w:rPr>
            </w:pPr>
            <w:r w:rsidRPr="001F68DA">
              <w:rPr>
                <w:rFonts w:asciiTheme="minorHAnsi" w:hAnsiTheme="minorHAnsi"/>
                <w:b/>
                <w:sz w:val="22"/>
                <w:szCs w:val="22"/>
              </w:rPr>
              <w:t>Unit Count</w:t>
            </w:r>
          </w:p>
        </w:tc>
      </w:tr>
      <w:tr w:rsidR="000B57CF" w:rsidRPr="0064552D" w14:paraId="4BDB674D" w14:textId="77777777" w:rsidTr="00A81244">
        <w:tc>
          <w:tcPr>
            <w:tcW w:w="3330" w:type="dxa"/>
          </w:tcPr>
          <w:p w14:paraId="61AB22F7" w14:textId="77777777" w:rsidR="000B57CF" w:rsidRPr="0064552D" w:rsidRDefault="000B57CF" w:rsidP="000235F8">
            <w:pPr>
              <w:rPr>
                <w:rFonts w:asciiTheme="minorHAnsi" w:hAnsiTheme="minorHAnsi"/>
                <w:sz w:val="22"/>
                <w:szCs w:val="22"/>
              </w:rPr>
            </w:pPr>
            <w:r w:rsidRPr="0064552D">
              <w:rPr>
                <w:rFonts w:asciiTheme="minorHAnsi" w:hAnsiTheme="minorHAnsi"/>
                <w:sz w:val="22"/>
                <w:szCs w:val="22"/>
              </w:rPr>
              <w:t xml:space="preserve">Server Protection </w:t>
            </w:r>
          </w:p>
        </w:tc>
        <w:tc>
          <w:tcPr>
            <w:tcW w:w="1530" w:type="dxa"/>
          </w:tcPr>
          <w:p w14:paraId="7D694DD2" w14:textId="77777777" w:rsidR="000B57CF" w:rsidRPr="006B5C18" w:rsidRDefault="000B57CF" w:rsidP="000235F8">
            <w:pPr>
              <w:jc w:val="center"/>
              <w:rPr>
                <w:rFonts w:asciiTheme="minorHAnsi" w:hAnsiTheme="minorHAnsi"/>
                <w:sz w:val="22"/>
                <w:szCs w:val="22"/>
                <w:lang w:val="ka-GE"/>
              </w:rPr>
            </w:pPr>
            <w:r>
              <w:rPr>
                <w:rFonts w:asciiTheme="minorHAnsi" w:hAnsiTheme="minorHAnsi"/>
                <w:sz w:val="22"/>
                <w:szCs w:val="22"/>
                <w:lang w:val="ka-GE"/>
              </w:rPr>
              <w:t>150</w:t>
            </w:r>
          </w:p>
        </w:tc>
      </w:tr>
      <w:tr w:rsidR="000B57CF" w:rsidRPr="0064552D" w14:paraId="62B6B160" w14:textId="77777777" w:rsidTr="00A81244">
        <w:tc>
          <w:tcPr>
            <w:tcW w:w="3330" w:type="dxa"/>
          </w:tcPr>
          <w:p w14:paraId="3B16D21C" w14:textId="77777777" w:rsidR="000B57CF" w:rsidRPr="0064552D" w:rsidRDefault="000B57CF" w:rsidP="000235F8">
            <w:pPr>
              <w:rPr>
                <w:rFonts w:asciiTheme="minorHAnsi" w:hAnsiTheme="minorHAnsi"/>
                <w:sz w:val="22"/>
                <w:szCs w:val="22"/>
              </w:rPr>
            </w:pPr>
            <w:r w:rsidRPr="0064552D">
              <w:rPr>
                <w:rFonts w:asciiTheme="minorHAnsi" w:hAnsiTheme="minorHAnsi"/>
                <w:sz w:val="22"/>
                <w:szCs w:val="22"/>
              </w:rPr>
              <w:t>Endpoint Protection</w:t>
            </w:r>
          </w:p>
        </w:tc>
        <w:tc>
          <w:tcPr>
            <w:tcW w:w="1530" w:type="dxa"/>
          </w:tcPr>
          <w:p w14:paraId="75874D8B" w14:textId="77777777" w:rsidR="000B57CF" w:rsidRPr="00881C19" w:rsidRDefault="000B57CF" w:rsidP="000235F8">
            <w:pPr>
              <w:jc w:val="center"/>
              <w:rPr>
                <w:rFonts w:asciiTheme="minorHAnsi" w:hAnsiTheme="minorHAnsi"/>
                <w:sz w:val="22"/>
                <w:szCs w:val="22"/>
              </w:rPr>
            </w:pPr>
            <w:r>
              <w:rPr>
                <w:rFonts w:asciiTheme="minorHAnsi" w:hAnsiTheme="minorHAnsi"/>
                <w:sz w:val="22"/>
                <w:szCs w:val="22"/>
                <w:lang w:val="ka-GE"/>
              </w:rPr>
              <w:t>1</w:t>
            </w:r>
            <w:r>
              <w:rPr>
                <w:rFonts w:asciiTheme="minorHAnsi" w:hAnsiTheme="minorHAnsi"/>
                <w:sz w:val="22"/>
                <w:szCs w:val="22"/>
              </w:rPr>
              <w:t>20</w:t>
            </w:r>
          </w:p>
        </w:tc>
      </w:tr>
      <w:tr w:rsidR="000B57CF" w:rsidRPr="0064552D" w14:paraId="12941558" w14:textId="77777777" w:rsidTr="00A81244">
        <w:tc>
          <w:tcPr>
            <w:tcW w:w="3330" w:type="dxa"/>
          </w:tcPr>
          <w:p w14:paraId="15BF8EAA" w14:textId="77777777" w:rsidR="000B57CF" w:rsidRPr="0064552D" w:rsidRDefault="000B57CF" w:rsidP="000235F8">
            <w:pPr>
              <w:rPr>
                <w:rFonts w:asciiTheme="minorHAnsi" w:hAnsiTheme="minorHAnsi"/>
                <w:sz w:val="22"/>
                <w:szCs w:val="22"/>
              </w:rPr>
            </w:pPr>
            <w:r w:rsidRPr="0064552D">
              <w:rPr>
                <w:rFonts w:asciiTheme="minorHAnsi" w:hAnsiTheme="minorHAnsi"/>
                <w:sz w:val="22"/>
                <w:szCs w:val="22"/>
              </w:rPr>
              <w:t>File Integrity Protection</w:t>
            </w:r>
          </w:p>
        </w:tc>
        <w:tc>
          <w:tcPr>
            <w:tcW w:w="1530" w:type="dxa"/>
          </w:tcPr>
          <w:p w14:paraId="70D0BA9D" w14:textId="77777777" w:rsidR="000B57CF" w:rsidRPr="0064552D" w:rsidRDefault="000B57CF" w:rsidP="000235F8">
            <w:pPr>
              <w:jc w:val="center"/>
              <w:rPr>
                <w:rFonts w:asciiTheme="minorHAnsi" w:hAnsiTheme="minorHAnsi"/>
                <w:sz w:val="22"/>
                <w:szCs w:val="22"/>
              </w:rPr>
            </w:pPr>
            <w:r>
              <w:rPr>
                <w:rFonts w:asciiTheme="minorHAnsi" w:hAnsiTheme="minorHAnsi"/>
                <w:sz w:val="22"/>
                <w:szCs w:val="22"/>
              </w:rPr>
              <w:t>20</w:t>
            </w:r>
          </w:p>
        </w:tc>
      </w:tr>
      <w:tr w:rsidR="000B57CF" w:rsidRPr="0064552D" w14:paraId="52D68123" w14:textId="77777777" w:rsidTr="00A81244">
        <w:tc>
          <w:tcPr>
            <w:tcW w:w="3330" w:type="dxa"/>
          </w:tcPr>
          <w:p w14:paraId="560391A1" w14:textId="77777777" w:rsidR="000B57CF" w:rsidRPr="0064552D" w:rsidRDefault="000B57CF" w:rsidP="000235F8">
            <w:pPr>
              <w:rPr>
                <w:rFonts w:asciiTheme="minorHAnsi" w:hAnsiTheme="minorHAnsi"/>
                <w:sz w:val="22"/>
                <w:szCs w:val="22"/>
              </w:rPr>
            </w:pPr>
            <w:r w:rsidRPr="0064552D">
              <w:rPr>
                <w:rFonts w:asciiTheme="minorHAnsi" w:hAnsiTheme="minorHAnsi"/>
                <w:sz w:val="22"/>
                <w:szCs w:val="22"/>
              </w:rPr>
              <w:t>Device Control</w:t>
            </w:r>
          </w:p>
        </w:tc>
        <w:tc>
          <w:tcPr>
            <w:tcW w:w="1530" w:type="dxa"/>
          </w:tcPr>
          <w:p w14:paraId="61F6C453" w14:textId="77777777" w:rsidR="000B57CF" w:rsidRPr="0064552D" w:rsidRDefault="000B57CF" w:rsidP="000235F8">
            <w:pPr>
              <w:jc w:val="center"/>
              <w:rPr>
                <w:rFonts w:asciiTheme="minorHAnsi" w:hAnsiTheme="minorHAnsi"/>
                <w:sz w:val="22"/>
                <w:szCs w:val="22"/>
              </w:rPr>
            </w:pPr>
            <w:r>
              <w:rPr>
                <w:rFonts w:asciiTheme="minorHAnsi" w:hAnsiTheme="minorHAnsi"/>
                <w:sz w:val="22"/>
                <w:szCs w:val="22"/>
              </w:rPr>
              <w:t>120</w:t>
            </w:r>
          </w:p>
        </w:tc>
      </w:tr>
      <w:tr w:rsidR="000B57CF" w:rsidRPr="0064552D" w14:paraId="51AB4A14" w14:textId="77777777" w:rsidTr="00A81244">
        <w:tc>
          <w:tcPr>
            <w:tcW w:w="3330" w:type="dxa"/>
          </w:tcPr>
          <w:p w14:paraId="0A250584" w14:textId="77777777" w:rsidR="000B57CF" w:rsidRPr="0064552D" w:rsidRDefault="000B57CF" w:rsidP="000235F8">
            <w:pPr>
              <w:rPr>
                <w:rFonts w:asciiTheme="minorHAnsi" w:hAnsiTheme="minorHAnsi"/>
                <w:sz w:val="22"/>
                <w:szCs w:val="22"/>
              </w:rPr>
            </w:pPr>
            <w:r w:rsidRPr="0064552D">
              <w:rPr>
                <w:rFonts w:asciiTheme="minorHAnsi" w:hAnsiTheme="minorHAnsi"/>
                <w:sz w:val="22"/>
                <w:szCs w:val="22"/>
              </w:rPr>
              <w:t>Cloud SIEM retention</w:t>
            </w:r>
          </w:p>
        </w:tc>
        <w:tc>
          <w:tcPr>
            <w:tcW w:w="1530" w:type="dxa"/>
          </w:tcPr>
          <w:p w14:paraId="49515EB6" w14:textId="77777777" w:rsidR="000B57CF" w:rsidRPr="0064552D" w:rsidRDefault="000B57CF" w:rsidP="000235F8">
            <w:pPr>
              <w:jc w:val="center"/>
              <w:rPr>
                <w:rFonts w:asciiTheme="minorHAnsi" w:hAnsiTheme="minorHAnsi"/>
                <w:sz w:val="22"/>
                <w:szCs w:val="22"/>
              </w:rPr>
            </w:pPr>
            <w:r>
              <w:rPr>
                <w:rFonts w:asciiTheme="minorHAnsi" w:hAnsiTheme="minorHAnsi"/>
                <w:sz w:val="22"/>
                <w:szCs w:val="22"/>
              </w:rPr>
              <w:t>30 days</w:t>
            </w:r>
          </w:p>
        </w:tc>
      </w:tr>
      <w:tr w:rsidR="000B57CF" w:rsidRPr="0064552D" w14:paraId="17813C8A" w14:textId="77777777" w:rsidTr="00A81244">
        <w:tc>
          <w:tcPr>
            <w:tcW w:w="3330" w:type="dxa"/>
          </w:tcPr>
          <w:p w14:paraId="3345B290" w14:textId="77777777" w:rsidR="000B57CF" w:rsidRPr="0064552D" w:rsidRDefault="000B57CF" w:rsidP="000235F8">
            <w:pPr>
              <w:rPr>
                <w:rFonts w:asciiTheme="minorHAnsi" w:hAnsiTheme="minorHAnsi"/>
                <w:sz w:val="22"/>
                <w:szCs w:val="22"/>
              </w:rPr>
            </w:pPr>
            <w:r w:rsidRPr="0064552D">
              <w:rPr>
                <w:rFonts w:asciiTheme="minorHAnsi" w:hAnsiTheme="minorHAnsi"/>
                <w:sz w:val="22"/>
                <w:szCs w:val="22"/>
              </w:rPr>
              <w:t xml:space="preserve">Subscription License – 12 months </w:t>
            </w:r>
          </w:p>
        </w:tc>
        <w:tc>
          <w:tcPr>
            <w:tcW w:w="1530" w:type="dxa"/>
          </w:tcPr>
          <w:p w14:paraId="13E01B3A" w14:textId="77777777" w:rsidR="000B57CF" w:rsidRPr="0064552D" w:rsidRDefault="000B57CF" w:rsidP="000235F8">
            <w:pPr>
              <w:jc w:val="center"/>
              <w:rPr>
                <w:rFonts w:asciiTheme="minorHAnsi" w:hAnsiTheme="minorHAnsi"/>
                <w:sz w:val="22"/>
                <w:szCs w:val="22"/>
              </w:rPr>
            </w:pPr>
            <w:r>
              <w:rPr>
                <w:rFonts w:asciiTheme="minorHAnsi" w:hAnsiTheme="minorHAnsi"/>
                <w:sz w:val="22"/>
                <w:szCs w:val="22"/>
              </w:rPr>
              <w:t>12 months</w:t>
            </w:r>
          </w:p>
        </w:tc>
      </w:tr>
    </w:tbl>
    <w:p w14:paraId="53FC4403" w14:textId="77777777" w:rsidR="000B57CF" w:rsidRPr="004169F5" w:rsidRDefault="000B57CF" w:rsidP="000B57CF">
      <w:pPr>
        <w:rPr>
          <w:rFonts w:asciiTheme="minorHAnsi" w:hAnsiTheme="minorHAnsi"/>
          <w:sz w:val="22"/>
          <w:szCs w:val="22"/>
        </w:rPr>
      </w:pPr>
    </w:p>
    <w:p w14:paraId="0FCA04AE" w14:textId="77777777" w:rsidR="000B57CF" w:rsidRDefault="000B57CF" w:rsidP="000B57CF">
      <w:pPr>
        <w:rPr>
          <w:rFonts w:asciiTheme="minorHAnsi" w:hAnsiTheme="minorHAnsi"/>
          <w:sz w:val="22"/>
          <w:szCs w:val="22"/>
        </w:rPr>
      </w:pPr>
    </w:p>
    <w:p w14:paraId="542235AA" w14:textId="77777777" w:rsidR="000B57CF" w:rsidRDefault="000B57CF" w:rsidP="000B57CF">
      <w:pPr>
        <w:rPr>
          <w:rFonts w:asciiTheme="minorHAnsi" w:hAnsiTheme="minorHAnsi"/>
          <w:sz w:val="22"/>
          <w:szCs w:val="22"/>
        </w:rPr>
      </w:pPr>
    </w:p>
    <w:p w14:paraId="3F71AC46" w14:textId="77777777" w:rsidR="000B57CF" w:rsidRDefault="000B57CF" w:rsidP="000B57CF">
      <w:pPr>
        <w:rPr>
          <w:rFonts w:asciiTheme="minorHAnsi" w:hAnsiTheme="minorHAnsi"/>
          <w:sz w:val="22"/>
          <w:szCs w:val="22"/>
        </w:rPr>
      </w:pPr>
    </w:p>
    <w:p w14:paraId="06EADA64" w14:textId="77777777" w:rsidR="000B57CF" w:rsidRPr="004169F5" w:rsidRDefault="000B57CF" w:rsidP="000B57CF">
      <w:pPr>
        <w:rPr>
          <w:rFonts w:asciiTheme="minorHAnsi" w:hAnsiTheme="minorHAnsi"/>
          <w:sz w:val="22"/>
          <w:szCs w:val="22"/>
        </w:rPr>
      </w:pPr>
    </w:p>
    <w:p w14:paraId="7AC8E373" w14:textId="77777777" w:rsidR="000B57CF" w:rsidRPr="004169F5" w:rsidRDefault="000B57CF" w:rsidP="000B57CF">
      <w:pPr>
        <w:rPr>
          <w:rFonts w:asciiTheme="minorHAnsi" w:hAnsiTheme="minorHAnsi"/>
          <w:sz w:val="22"/>
          <w:szCs w:val="22"/>
        </w:rPr>
      </w:pPr>
    </w:p>
    <w:p w14:paraId="07CAAAAB" w14:textId="77777777" w:rsidR="000B57CF" w:rsidRPr="004169F5" w:rsidRDefault="000B57CF" w:rsidP="000B57CF">
      <w:pPr>
        <w:rPr>
          <w:rFonts w:asciiTheme="minorHAnsi" w:hAnsiTheme="minorHAnsi"/>
          <w:sz w:val="22"/>
          <w:szCs w:val="22"/>
        </w:rPr>
      </w:pPr>
    </w:p>
    <w:tbl>
      <w:tblPr>
        <w:tblW w:w="10883" w:type="dxa"/>
        <w:tblInd w:w="-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3"/>
      </w:tblGrid>
      <w:tr w:rsidR="000B57CF" w:rsidRPr="004169F5" w14:paraId="39DB7916" w14:textId="77777777" w:rsidTr="000235F8">
        <w:trPr>
          <w:trHeight w:val="746"/>
        </w:trPr>
        <w:tc>
          <w:tcPr>
            <w:tcW w:w="10883" w:type="dxa"/>
            <w:shd w:val="clear" w:color="auto" w:fill="auto"/>
            <w:noWrap/>
            <w:vAlign w:val="center"/>
            <w:hideMark/>
          </w:tcPr>
          <w:p w14:paraId="05020737" w14:textId="77777777" w:rsidR="000B57CF" w:rsidRPr="004169F5" w:rsidRDefault="000B57CF" w:rsidP="000235F8">
            <w:pPr>
              <w:jc w:val="center"/>
              <w:rPr>
                <w:rFonts w:asciiTheme="minorHAnsi" w:hAnsiTheme="minorHAnsi" w:cstheme="minorHAnsi"/>
                <w:b/>
                <w:bCs/>
                <w:sz w:val="22"/>
                <w:szCs w:val="22"/>
              </w:rPr>
            </w:pPr>
            <w:r w:rsidRPr="004169F5">
              <w:rPr>
                <w:rFonts w:asciiTheme="minorHAnsi" w:hAnsiTheme="minorHAnsi" w:cstheme="minorHAnsi"/>
                <w:b/>
                <w:sz w:val="22"/>
                <w:szCs w:val="22"/>
              </w:rPr>
              <w:t xml:space="preserve">XDR/Cloud-Based SIEM </w:t>
            </w:r>
            <w:r w:rsidRPr="004169F5">
              <w:rPr>
                <w:rFonts w:asciiTheme="minorHAnsi" w:hAnsiTheme="minorHAnsi" w:cstheme="minorHAnsi"/>
                <w:b/>
                <w:bCs/>
                <w:sz w:val="22"/>
                <w:szCs w:val="22"/>
              </w:rPr>
              <w:t>Architecture</w:t>
            </w:r>
          </w:p>
        </w:tc>
      </w:tr>
      <w:tr w:rsidR="000B57CF" w:rsidRPr="004169F5" w14:paraId="0FF608A9" w14:textId="77777777" w:rsidTr="000235F8">
        <w:trPr>
          <w:trHeight w:val="413"/>
        </w:trPr>
        <w:tc>
          <w:tcPr>
            <w:tcW w:w="10883" w:type="dxa"/>
            <w:shd w:val="clear" w:color="auto" w:fill="auto"/>
            <w:noWrap/>
            <w:vAlign w:val="center"/>
          </w:tcPr>
          <w:p w14:paraId="33C10BF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whole solution must be centrally controlled from a single cloud native management console</w:t>
            </w:r>
          </w:p>
        </w:tc>
      </w:tr>
      <w:tr w:rsidR="000B57CF" w:rsidRPr="004169F5" w14:paraId="4272219D" w14:textId="77777777" w:rsidTr="000235F8">
        <w:trPr>
          <w:trHeight w:val="413"/>
        </w:trPr>
        <w:tc>
          <w:tcPr>
            <w:tcW w:w="10883" w:type="dxa"/>
            <w:shd w:val="clear" w:color="auto" w:fill="auto"/>
            <w:noWrap/>
            <w:vAlign w:val="center"/>
          </w:tcPr>
          <w:p w14:paraId="6CB6F8C2"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It should be possible to choose the location of Remote Vendor Servers (Cloud) which will be used (EU is preferable). This requirement is imperative especially for cloud-only deployment</w:t>
            </w:r>
          </w:p>
        </w:tc>
      </w:tr>
      <w:tr w:rsidR="000B57CF" w:rsidRPr="004169F5" w14:paraId="698A3876" w14:textId="77777777" w:rsidTr="000235F8">
        <w:trPr>
          <w:trHeight w:val="620"/>
        </w:trPr>
        <w:tc>
          <w:tcPr>
            <w:tcW w:w="10883" w:type="dxa"/>
            <w:shd w:val="clear" w:color="auto" w:fill="auto"/>
            <w:noWrap/>
            <w:vAlign w:val="center"/>
            <w:hideMark/>
          </w:tcPr>
          <w:p w14:paraId="2F8056AF" w14:textId="77777777" w:rsidR="000B57CF" w:rsidRPr="004169F5" w:rsidRDefault="000B57CF" w:rsidP="000235F8">
            <w:pPr>
              <w:spacing w:after="200" w:line="276" w:lineRule="auto"/>
              <w:rPr>
                <w:rFonts w:asciiTheme="minorHAnsi" w:hAnsiTheme="minorHAnsi" w:cstheme="minorHAnsi"/>
                <w:sz w:val="22"/>
                <w:szCs w:val="22"/>
              </w:rPr>
            </w:pPr>
            <w:r w:rsidRPr="004169F5">
              <w:rPr>
                <w:rFonts w:asciiTheme="minorHAnsi" w:hAnsiTheme="minorHAnsi" w:cstheme="minorHAnsi"/>
                <w:sz w:val="22"/>
                <w:szCs w:val="22"/>
              </w:rPr>
              <w:t>The agent must be capable of communications with management and reporting even when not connected to the corporate network (e.g. when working remotely or connected to the internet).</w:t>
            </w:r>
          </w:p>
        </w:tc>
      </w:tr>
      <w:tr w:rsidR="000B57CF" w:rsidRPr="004169F5" w14:paraId="3007FD83" w14:textId="77777777" w:rsidTr="000235F8">
        <w:trPr>
          <w:trHeight w:val="332"/>
        </w:trPr>
        <w:tc>
          <w:tcPr>
            <w:tcW w:w="10883" w:type="dxa"/>
            <w:shd w:val="clear" w:color="auto" w:fill="auto"/>
            <w:noWrap/>
            <w:vAlign w:val="center"/>
          </w:tcPr>
          <w:p w14:paraId="76A4EC3E"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Does not require reboot during installation or during version updates.</w:t>
            </w:r>
          </w:p>
        </w:tc>
      </w:tr>
      <w:tr w:rsidR="000B57CF" w:rsidRPr="004169F5" w14:paraId="240A465D" w14:textId="77777777" w:rsidTr="000235F8">
        <w:trPr>
          <w:trHeight w:val="350"/>
        </w:trPr>
        <w:tc>
          <w:tcPr>
            <w:tcW w:w="10883" w:type="dxa"/>
            <w:shd w:val="clear" w:color="auto" w:fill="auto"/>
            <w:noWrap/>
            <w:vAlign w:val="center"/>
          </w:tcPr>
          <w:p w14:paraId="3D954F26"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be able to offer agent and console updates seamlessly and automatically.</w:t>
            </w:r>
          </w:p>
        </w:tc>
      </w:tr>
      <w:tr w:rsidR="000B57CF" w:rsidRPr="004169F5" w14:paraId="068F282B" w14:textId="77777777" w:rsidTr="000235F8">
        <w:trPr>
          <w:trHeight w:val="350"/>
        </w:trPr>
        <w:tc>
          <w:tcPr>
            <w:tcW w:w="10883" w:type="dxa"/>
            <w:shd w:val="clear" w:color="auto" w:fill="auto"/>
            <w:noWrap/>
            <w:vAlign w:val="center"/>
          </w:tcPr>
          <w:p w14:paraId="393A244B"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must support different Operating Systems: Windows, Linux, and Mac. </w:t>
            </w:r>
          </w:p>
        </w:tc>
      </w:tr>
      <w:tr w:rsidR="000B57CF" w:rsidRPr="004169F5" w14:paraId="75BC7D69" w14:textId="77777777" w:rsidTr="000235F8">
        <w:trPr>
          <w:trHeight w:val="800"/>
        </w:trPr>
        <w:tc>
          <w:tcPr>
            <w:tcW w:w="10883" w:type="dxa"/>
            <w:shd w:val="clear" w:color="auto" w:fill="auto"/>
            <w:noWrap/>
            <w:vAlign w:val="center"/>
          </w:tcPr>
          <w:p w14:paraId="3D04A1B5"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integrate all features (Desktop/Servers) of into a single lightweight agent (no need to reinstall the agent (install additional modules) when adding new functionality; in normal operation it should not affect performance (</w:t>
            </w:r>
            <w:r w:rsidRPr="00A76C12">
              <w:rPr>
                <w:rFonts w:asciiTheme="minorHAnsi" w:hAnsiTheme="minorHAnsi" w:cstheme="minorHAnsi"/>
                <w:sz w:val="22"/>
                <w:szCs w:val="22"/>
              </w:rPr>
              <w:t>consuming about 80 MB</w:t>
            </w:r>
            <w:r w:rsidRPr="004169F5">
              <w:rPr>
                <w:rFonts w:asciiTheme="minorHAnsi" w:hAnsiTheme="minorHAnsi" w:cstheme="minorHAnsi"/>
                <w:sz w:val="22"/>
                <w:szCs w:val="22"/>
              </w:rPr>
              <w:t xml:space="preserve"> of memory and less than 1% of CPU))</w:t>
            </w:r>
          </w:p>
        </w:tc>
      </w:tr>
      <w:tr w:rsidR="000B57CF" w:rsidRPr="004169F5" w14:paraId="10CB8659" w14:textId="77777777" w:rsidTr="000235F8">
        <w:trPr>
          <w:trHeight w:val="440"/>
        </w:trPr>
        <w:tc>
          <w:tcPr>
            <w:tcW w:w="10883" w:type="dxa"/>
            <w:shd w:val="clear" w:color="auto" w:fill="auto"/>
            <w:noWrap/>
            <w:vAlign w:val="center"/>
          </w:tcPr>
          <w:p w14:paraId="5B240B1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must provide native SOAR capabilities with webhooks capabilities </w:t>
            </w:r>
          </w:p>
        </w:tc>
      </w:tr>
      <w:tr w:rsidR="000B57CF" w:rsidRPr="004169F5" w14:paraId="3B5B4143" w14:textId="77777777" w:rsidTr="000235F8">
        <w:trPr>
          <w:trHeight w:val="350"/>
        </w:trPr>
        <w:tc>
          <w:tcPr>
            <w:tcW w:w="10883" w:type="dxa"/>
            <w:shd w:val="clear" w:color="auto" w:fill="auto"/>
            <w:noWrap/>
            <w:vAlign w:val="center"/>
          </w:tcPr>
          <w:p w14:paraId="6AEDAEE4"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should provide the capability to expand the modules while relying on same platform and same sensor</w:t>
            </w:r>
          </w:p>
        </w:tc>
      </w:tr>
      <w:tr w:rsidR="000B57CF" w:rsidRPr="004169F5" w14:paraId="4F922262" w14:textId="77777777" w:rsidTr="000235F8">
        <w:trPr>
          <w:trHeight w:val="620"/>
        </w:trPr>
        <w:tc>
          <w:tcPr>
            <w:tcW w:w="10883" w:type="dxa"/>
            <w:shd w:val="clear" w:color="auto" w:fill="auto"/>
            <w:noWrap/>
            <w:vAlign w:val="center"/>
          </w:tcPr>
          <w:p w14:paraId="36E3787D"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should not be limited to the currently listed modules and should be able to offer Identity Protection covering AD attacks </w:t>
            </w:r>
          </w:p>
        </w:tc>
      </w:tr>
      <w:tr w:rsidR="000B57CF" w:rsidRPr="004169F5" w14:paraId="47E059FA" w14:textId="77777777" w:rsidTr="000235F8">
        <w:trPr>
          <w:trHeight w:val="440"/>
        </w:trPr>
        <w:tc>
          <w:tcPr>
            <w:tcW w:w="10883" w:type="dxa"/>
            <w:shd w:val="clear" w:color="auto" w:fill="auto"/>
            <w:noWrap/>
            <w:vAlign w:val="center"/>
          </w:tcPr>
          <w:p w14:paraId="343DF4AD"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should not be limited to the currently listed modules and should be able to offer Data Protection module</w:t>
            </w:r>
          </w:p>
        </w:tc>
      </w:tr>
      <w:tr w:rsidR="000B57CF" w:rsidRPr="004169F5" w14:paraId="6DC60371" w14:textId="77777777" w:rsidTr="000235F8">
        <w:trPr>
          <w:trHeight w:val="440"/>
        </w:trPr>
        <w:tc>
          <w:tcPr>
            <w:tcW w:w="10883" w:type="dxa"/>
            <w:shd w:val="clear" w:color="auto" w:fill="auto"/>
            <w:noWrap/>
            <w:vAlign w:val="center"/>
          </w:tcPr>
          <w:p w14:paraId="04E8B074"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should not be limited to the currently listed modules and should be able to offer </w:t>
            </w:r>
            <w:r w:rsidRPr="00A76C12">
              <w:rPr>
                <w:rFonts w:asciiTheme="minorHAnsi" w:hAnsiTheme="minorHAnsi" w:cstheme="minorHAnsi"/>
                <w:color w:val="000000" w:themeColor="text1"/>
                <w:sz w:val="22"/>
                <w:szCs w:val="22"/>
              </w:rPr>
              <w:t xml:space="preserve">Generative AI </w:t>
            </w:r>
          </w:p>
        </w:tc>
      </w:tr>
      <w:tr w:rsidR="000B57CF" w:rsidRPr="004169F5" w14:paraId="015C9D2E" w14:textId="77777777" w:rsidTr="000235F8">
        <w:trPr>
          <w:trHeight w:val="620"/>
        </w:trPr>
        <w:tc>
          <w:tcPr>
            <w:tcW w:w="10883" w:type="dxa"/>
            <w:shd w:val="clear" w:color="auto" w:fill="auto"/>
            <w:noWrap/>
            <w:vAlign w:val="center"/>
          </w:tcPr>
          <w:p w14:paraId="607EF3D2"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should not be limited to the currently listed modules and should be able to offer </w:t>
            </w:r>
            <w:r w:rsidRPr="00A76C12">
              <w:rPr>
                <w:rFonts w:asciiTheme="minorHAnsi" w:hAnsiTheme="minorHAnsi" w:cstheme="minorHAnsi"/>
                <w:color w:val="000000" w:themeColor="text1"/>
                <w:sz w:val="22"/>
                <w:szCs w:val="22"/>
              </w:rPr>
              <w:t xml:space="preserve">Incident Workbench </w:t>
            </w:r>
            <w:r w:rsidRPr="004169F5">
              <w:rPr>
                <w:rFonts w:asciiTheme="minorHAnsi" w:hAnsiTheme="minorHAnsi" w:cstheme="minorHAnsi"/>
                <w:sz w:val="22"/>
                <w:szCs w:val="22"/>
              </w:rPr>
              <w:t>based on modules correlation</w:t>
            </w:r>
          </w:p>
        </w:tc>
      </w:tr>
      <w:tr w:rsidR="000B57CF" w:rsidRPr="004169F5" w14:paraId="6C0F7AE1" w14:textId="77777777" w:rsidTr="000235F8">
        <w:trPr>
          <w:trHeight w:val="710"/>
        </w:trPr>
        <w:tc>
          <w:tcPr>
            <w:tcW w:w="10883" w:type="dxa"/>
            <w:shd w:val="clear" w:color="auto" w:fill="auto"/>
            <w:noWrap/>
            <w:vAlign w:val="center"/>
          </w:tcPr>
          <w:p w14:paraId="590691AD"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should not be limited to the currently listed modules and should be able to offer using the same platform integration with third party solution and shows unified detections</w:t>
            </w:r>
          </w:p>
        </w:tc>
      </w:tr>
      <w:tr w:rsidR="000B57CF" w:rsidRPr="004169F5" w14:paraId="32CED3DB" w14:textId="77777777" w:rsidTr="000235F8">
        <w:trPr>
          <w:trHeight w:val="800"/>
        </w:trPr>
        <w:tc>
          <w:tcPr>
            <w:tcW w:w="10883" w:type="dxa"/>
            <w:shd w:val="clear" w:color="auto" w:fill="auto"/>
            <w:noWrap/>
            <w:vAlign w:val="center"/>
          </w:tcPr>
          <w:p w14:paraId="28E9F7A9" w14:textId="77777777" w:rsidR="000B57CF" w:rsidRPr="004169F5" w:rsidRDefault="000B57CF" w:rsidP="000235F8">
            <w:pPr>
              <w:jc w:val="center"/>
              <w:rPr>
                <w:rFonts w:asciiTheme="minorHAnsi" w:hAnsiTheme="minorHAnsi" w:cstheme="minorHAnsi"/>
                <w:b/>
                <w:bCs/>
                <w:sz w:val="22"/>
                <w:szCs w:val="22"/>
              </w:rPr>
            </w:pPr>
            <w:r w:rsidRPr="004169F5">
              <w:rPr>
                <w:rFonts w:asciiTheme="minorHAnsi" w:hAnsiTheme="minorHAnsi" w:cstheme="minorHAnsi"/>
                <w:b/>
                <w:bCs/>
                <w:sz w:val="22"/>
                <w:szCs w:val="22"/>
              </w:rPr>
              <w:t>Prevention – Next-Gen AV</w:t>
            </w:r>
          </w:p>
        </w:tc>
      </w:tr>
      <w:tr w:rsidR="000B57CF" w:rsidRPr="004169F5" w14:paraId="41B0ADB9" w14:textId="77777777" w:rsidTr="000235F8">
        <w:trPr>
          <w:trHeight w:val="620"/>
        </w:trPr>
        <w:tc>
          <w:tcPr>
            <w:tcW w:w="10883" w:type="dxa"/>
            <w:shd w:val="clear" w:color="auto" w:fill="auto"/>
            <w:noWrap/>
            <w:vAlign w:val="center"/>
          </w:tcPr>
          <w:p w14:paraId="43A23AA5"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lastRenderedPageBreak/>
              <w:t>The solution must provide the ability to prevent suspicious activity using Machine Learning and IOA without relying on Signatures</w:t>
            </w:r>
          </w:p>
        </w:tc>
      </w:tr>
      <w:tr w:rsidR="000B57CF" w:rsidRPr="004169F5" w14:paraId="154B3751" w14:textId="77777777" w:rsidTr="000235F8">
        <w:trPr>
          <w:trHeight w:val="620"/>
        </w:trPr>
        <w:tc>
          <w:tcPr>
            <w:tcW w:w="10883" w:type="dxa"/>
            <w:shd w:val="clear" w:color="auto" w:fill="auto"/>
            <w:noWrap/>
            <w:vAlign w:val="center"/>
          </w:tcPr>
          <w:p w14:paraId="32056D9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continuously monitor and track activity on endpoints to analyze behavior in real time and prevent known and unknown threats.</w:t>
            </w:r>
          </w:p>
        </w:tc>
      </w:tr>
      <w:tr w:rsidR="000B57CF" w:rsidRPr="004169F5" w14:paraId="6FD84C17" w14:textId="77777777" w:rsidTr="000235F8">
        <w:trPr>
          <w:trHeight w:val="440"/>
        </w:trPr>
        <w:tc>
          <w:tcPr>
            <w:tcW w:w="10883" w:type="dxa"/>
            <w:shd w:val="clear" w:color="auto" w:fill="auto"/>
            <w:noWrap/>
            <w:vAlign w:val="center"/>
          </w:tcPr>
          <w:p w14:paraId="0195EE01"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must not be detected, tampered with or disabled by unauthorized personnel. </w:t>
            </w:r>
          </w:p>
        </w:tc>
      </w:tr>
      <w:tr w:rsidR="000B57CF" w:rsidRPr="004169F5" w14:paraId="144554B1" w14:textId="77777777" w:rsidTr="000235F8">
        <w:trPr>
          <w:trHeight w:val="647"/>
        </w:trPr>
        <w:tc>
          <w:tcPr>
            <w:tcW w:w="10883" w:type="dxa"/>
            <w:shd w:val="clear" w:color="auto" w:fill="auto"/>
            <w:noWrap/>
            <w:vAlign w:val="center"/>
          </w:tcPr>
          <w:p w14:paraId="57EC033E"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prevent attacks when no network connectivity to the Internet is present.</w:t>
            </w:r>
          </w:p>
        </w:tc>
      </w:tr>
      <w:tr w:rsidR="000B57CF" w:rsidRPr="004169F5" w14:paraId="115EA0F1" w14:textId="77777777" w:rsidTr="000235F8">
        <w:trPr>
          <w:trHeight w:val="647"/>
        </w:trPr>
        <w:tc>
          <w:tcPr>
            <w:tcW w:w="10883" w:type="dxa"/>
            <w:shd w:val="clear" w:color="auto" w:fill="auto"/>
            <w:noWrap/>
            <w:vAlign w:val="center"/>
          </w:tcPr>
          <w:p w14:paraId="42CEC4B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not impact the performance of the endpoint, in any environment, including virtualized platforms and private cloud environments</w:t>
            </w:r>
          </w:p>
        </w:tc>
      </w:tr>
      <w:tr w:rsidR="000B57CF" w:rsidRPr="004169F5" w14:paraId="1A388B59" w14:textId="77777777" w:rsidTr="000235F8">
        <w:trPr>
          <w:trHeight w:val="746"/>
        </w:trPr>
        <w:tc>
          <w:tcPr>
            <w:tcW w:w="10883" w:type="dxa"/>
            <w:shd w:val="clear" w:color="auto" w:fill="auto"/>
            <w:noWrap/>
            <w:vAlign w:val="center"/>
          </w:tcPr>
          <w:p w14:paraId="7650F0F3"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should be 100% signatureless and must not download signature on the daily/weekly basis to protect against latest threat while still providing full functionality</w:t>
            </w:r>
          </w:p>
        </w:tc>
      </w:tr>
      <w:tr w:rsidR="000B57CF" w:rsidRPr="004169F5" w14:paraId="5B8AF867" w14:textId="77777777" w:rsidTr="000235F8">
        <w:trPr>
          <w:trHeight w:val="701"/>
        </w:trPr>
        <w:tc>
          <w:tcPr>
            <w:tcW w:w="10883" w:type="dxa"/>
            <w:shd w:val="clear" w:color="auto" w:fill="auto"/>
            <w:noWrap/>
            <w:vAlign w:val="center"/>
          </w:tcPr>
          <w:p w14:paraId="06468C8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the capability for managing exceptions and preventing false positives, using application whitelisting and creating custom IOA exceptions to whitelist specific behavior.</w:t>
            </w:r>
          </w:p>
        </w:tc>
      </w:tr>
      <w:tr w:rsidR="000B57CF" w:rsidRPr="004169F5" w14:paraId="2BF449C8" w14:textId="77777777" w:rsidTr="000235F8">
        <w:trPr>
          <w:trHeight w:val="647"/>
        </w:trPr>
        <w:tc>
          <w:tcPr>
            <w:tcW w:w="10883" w:type="dxa"/>
            <w:shd w:val="clear" w:color="auto" w:fill="auto"/>
            <w:noWrap/>
            <w:vAlign w:val="center"/>
          </w:tcPr>
          <w:p w14:paraId="7D6878EE"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prevent software exploits by enforcing in-memory protection. These methods guard against memory overflow attacks and against other attack methods that take advantage of zero-day software or OS vulnerabilities.</w:t>
            </w:r>
          </w:p>
        </w:tc>
      </w:tr>
      <w:tr w:rsidR="000B57CF" w:rsidRPr="004169F5" w14:paraId="28D171B5" w14:textId="77777777" w:rsidTr="000235F8">
        <w:trPr>
          <w:trHeight w:val="422"/>
        </w:trPr>
        <w:tc>
          <w:tcPr>
            <w:tcW w:w="10883" w:type="dxa"/>
            <w:shd w:val="clear" w:color="auto" w:fill="auto"/>
            <w:noWrap/>
            <w:vAlign w:val="center"/>
          </w:tcPr>
          <w:p w14:paraId="55BF594B" w14:textId="77777777" w:rsidR="000B57CF" w:rsidRPr="004169F5" w:rsidRDefault="000B57CF" w:rsidP="000235F8">
            <w:pPr>
              <w:spacing w:after="200" w:line="276" w:lineRule="auto"/>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must protect against File-less and malware free attacks. </w:t>
            </w:r>
          </w:p>
        </w:tc>
      </w:tr>
      <w:tr w:rsidR="000B57CF" w:rsidRPr="004169F5" w14:paraId="6019ADF2" w14:textId="77777777" w:rsidTr="000235F8">
        <w:trPr>
          <w:trHeight w:val="350"/>
        </w:trPr>
        <w:tc>
          <w:tcPr>
            <w:tcW w:w="10883" w:type="dxa"/>
            <w:shd w:val="clear" w:color="auto" w:fill="auto"/>
            <w:noWrap/>
            <w:vAlign w:val="center"/>
          </w:tcPr>
          <w:p w14:paraId="0603EFF8"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cover the full kill chain of an attack.</w:t>
            </w:r>
          </w:p>
        </w:tc>
      </w:tr>
      <w:tr w:rsidR="000B57CF" w:rsidRPr="004169F5" w14:paraId="44A97F55" w14:textId="77777777" w:rsidTr="000235F8">
        <w:trPr>
          <w:trHeight w:val="765"/>
        </w:trPr>
        <w:tc>
          <w:tcPr>
            <w:tcW w:w="10883" w:type="dxa"/>
            <w:shd w:val="clear" w:color="auto" w:fill="auto"/>
            <w:noWrap/>
            <w:vAlign w:val="center"/>
          </w:tcPr>
          <w:p w14:paraId="5433073D"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Dashboard elements must be actionable, so that clicking on an event or graph will initiate steps to better understand the behavior of the malware and leading to resolution steps.</w:t>
            </w:r>
          </w:p>
        </w:tc>
      </w:tr>
      <w:tr w:rsidR="000B57CF" w:rsidRPr="004169F5" w14:paraId="11641314" w14:textId="77777777" w:rsidTr="000235F8">
        <w:trPr>
          <w:trHeight w:val="765"/>
        </w:trPr>
        <w:tc>
          <w:tcPr>
            <w:tcW w:w="10883" w:type="dxa"/>
            <w:shd w:val="clear" w:color="auto" w:fill="auto"/>
            <w:noWrap/>
            <w:vAlign w:val="center"/>
          </w:tcPr>
          <w:p w14:paraId="3586C75B" w14:textId="77777777" w:rsidR="000B57CF" w:rsidRPr="004169F5" w:rsidRDefault="000B57CF" w:rsidP="000235F8">
            <w:pPr>
              <w:jc w:val="center"/>
              <w:rPr>
                <w:rFonts w:asciiTheme="minorHAnsi" w:hAnsiTheme="minorHAnsi" w:cstheme="minorHAnsi"/>
                <w:b/>
                <w:bCs/>
                <w:sz w:val="22"/>
                <w:szCs w:val="22"/>
              </w:rPr>
            </w:pPr>
          </w:p>
          <w:p w14:paraId="0E9AC1FB" w14:textId="77777777" w:rsidR="000B57CF" w:rsidRPr="004169F5" w:rsidRDefault="000B57CF" w:rsidP="000235F8">
            <w:pPr>
              <w:jc w:val="center"/>
              <w:rPr>
                <w:rFonts w:asciiTheme="minorHAnsi" w:hAnsiTheme="minorHAnsi" w:cstheme="minorHAnsi"/>
                <w:b/>
                <w:bCs/>
                <w:sz w:val="22"/>
                <w:szCs w:val="22"/>
              </w:rPr>
            </w:pPr>
          </w:p>
          <w:p w14:paraId="62107E71" w14:textId="77777777" w:rsidR="000B57CF" w:rsidRPr="004169F5" w:rsidRDefault="000B57CF" w:rsidP="000235F8">
            <w:pPr>
              <w:jc w:val="center"/>
              <w:rPr>
                <w:rFonts w:asciiTheme="minorHAnsi" w:hAnsiTheme="minorHAnsi" w:cstheme="minorHAnsi"/>
                <w:b/>
                <w:bCs/>
                <w:sz w:val="22"/>
                <w:szCs w:val="22"/>
              </w:rPr>
            </w:pPr>
          </w:p>
          <w:p w14:paraId="2DCFA119" w14:textId="77777777" w:rsidR="000B57CF" w:rsidRPr="004169F5" w:rsidRDefault="000B57CF" w:rsidP="000235F8">
            <w:pPr>
              <w:jc w:val="center"/>
              <w:rPr>
                <w:rFonts w:asciiTheme="minorHAnsi" w:hAnsiTheme="minorHAnsi" w:cstheme="minorHAnsi"/>
                <w:sz w:val="22"/>
                <w:szCs w:val="22"/>
              </w:rPr>
            </w:pPr>
            <w:r w:rsidRPr="004169F5">
              <w:rPr>
                <w:rFonts w:asciiTheme="minorHAnsi" w:hAnsiTheme="minorHAnsi" w:cstheme="minorHAnsi"/>
                <w:b/>
                <w:bCs/>
                <w:sz w:val="22"/>
                <w:szCs w:val="22"/>
              </w:rPr>
              <w:t>Endpoint Detection and Response (EDR)</w:t>
            </w:r>
          </w:p>
        </w:tc>
      </w:tr>
      <w:tr w:rsidR="000B57CF" w:rsidRPr="004169F5" w14:paraId="7A394753" w14:textId="77777777" w:rsidTr="000235F8">
        <w:trPr>
          <w:trHeight w:val="560"/>
        </w:trPr>
        <w:tc>
          <w:tcPr>
            <w:tcW w:w="10883" w:type="dxa"/>
            <w:shd w:val="clear" w:color="auto" w:fill="auto"/>
            <w:noWrap/>
            <w:vAlign w:val="center"/>
          </w:tcPr>
          <w:p w14:paraId="473C9552"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continuously record endpoint telemetry metadata for incident investigation purposes</w:t>
            </w:r>
          </w:p>
        </w:tc>
      </w:tr>
      <w:tr w:rsidR="000B57CF" w:rsidRPr="004169F5" w14:paraId="6F7C307F" w14:textId="77777777" w:rsidTr="000235F8">
        <w:trPr>
          <w:trHeight w:val="560"/>
        </w:trPr>
        <w:tc>
          <w:tcPr>
            <w:tcW w:w="10883" w:type="dxa"/>
            <w:shd w:val="clear" w:color="auto" w:fill="auto"/>
            <w:noWrap/>
            <w:vAlign w:val="center"/>
          </w:tcPr>
          <w:p w14:paraId="02722182"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telemetry captured must not resides on the endpoint and must be securely transmitted to the cloud </w:t>
            </w:r>
          </w:p>
        </w:tc>
      </w:tr>
      <w:tr w:rsidR="000B57CF" w:rsidRPr="004169F5" w14:paraId="3B7D5148" w14:textId="77777777" w:rsidTr="000235F8">
        <w:trPr>
          <w:trHeight w:val="560"/>
        </w:trPr>
        <w:tc>
          <w:tcPr>
            <w:tcW w:w="10883" w:type="dxa"/>
            <w:shd w:val="clear" w:color="auto" w:fill="auto"/>
            <w:noWrap/>
            <w:vAlign w:val="center"/>
          </w:tcPr>
          <w:p w14:paraId="0A5D61CB"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must provide the ability for incident data search and investigation in real time and historical  </w:t>
            </w:r>
          </w:p>
        </w:tc>
      </w:tr>
      <w:tr w:rsidR="000B57CF" w:rsidRPr="004169F5" w14:paraId="1FB6A698" w14:textId="77777777" w:rsidTr="000235F8">
        <w:trPr>
          <w:trHeight w:val="80"/>
        </w:trPr>
        <w:tc>
          <w:tcPr>
            <w:tcW w:w="10883" w:type="dxa"/>
            <w:shd w:val="clear" w:color="auto" w:fill="auto"/>
            <w:noWrap/>
            <w:vAlign w:val="center"/>
          </w:tcPr>
          <w:p w14:paraId="51A41B42"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track process and service creation and termination on an endpoint historically and real time.</w:t>
            </w:r>
          </w:p>
        </w:tc>
      </w:tr>
      <w:tr w:rsidR="000B57CF" w:rsidRPr="004169F5" w14:paraId="55ACB45C" w14:textId="77777777" w:rsidTr="000235F8">
        <w:trPr>
          <w:trHeight w:val="80"/>
        </w:trPr>
        <w:tc>
          <w:tcPr>
            <w:tcW w:w="10883" w:type="dxa"/>
            <w:shd w:val="clear" w:color="auto" w:fill="auto"/>
            <w:noWrap/>
            <w:vAlign w:val="center"/>
          </w:tcPr>
          <w:p w14:paraId="3D21D31C"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track registry changes on the endpoint historically and in real time.</w:t>
            </w:r>
          </w:p>
        </w:tc>
      </w:tr>
      <w:tr w:rsidR="000B57CF" w:rsidRPr="004169F5" w14:paraId="79C6C342" w14:textId="77777777" w:rsidTr="000235F8">
        <w:trPr>
          <w:trHeight w:val="80"/>
        </w:trPr>
        <w:tc>
          <w:tcPr>
            <w:tcW w:w="10883" w:type="dxa"/>
            <w:shd w:val="clear" w:color="auto" w:fill="auto"/>
            <w:noWrap/>
            <w:vAlign w:val="center"/>
          </w:tcPr>
          <w:p w14:paraId="5D90096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allow to search for a specific IP address.</w:t>
            </w:r>
          </w:p>
        </w:tc>
      </w:tr>
      <w:tr w:rsidR="000B57CF" w:rsidRPr="004169F5" w14:paraId="2F87CDF1" w14:textId="77777777" w:rsidTr="000235F8">
        <w:trPr>
          <w:trHeight w:val="80"/>
        </w:trPr>
        <w:tc>
          <w:tcPr>
            <w:tcW w:w="10883" w:type="dxa"/>
            <w:shd w:val="clear" w:color="auto" w:fill="auto"/>
            <w:noWrap/>
            <w:vAlign w:val="center"/>
          </w:tcPr>
          <w:p w14:paraId="593DB64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allow to search for activity by user names.</w:t>
            </w:r>
          </w:p>
        </w:tc>
      </w:tr>
      <w:tr w:rsidR="000B57CF" w:rsidRPr="004169F5" w14:paraId="43B44A1A" w14:textId="77777777" w:rsidTr="000235F8">
        <w:trPr>
          <w:trHeight w:val="80"/>
        </w:trPr>
        <w:tc>
          <w:tcPr>
            <w:tcW w:w="10883" w:type="dxa"/>
            <w:shd w:val="clear" w:color="auto" w:fill="auto"/>
            <w:noWrap/>
            <w:vAlign w:val="center"/>
          </w:tcPr>
          <w:p w14:paraId="07F456D8"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show network activity based on geographic location.</w:t>
            </w:r>
          </w:p>
        </w:tc>
      </w:tr>
      <w:tr w:rsidR="000B57CF" w:rsidRPr="004169F5" w14:paraId="6386B868" w14:textId="77777777" w:rsidTr="000235F8">
        <w:trPr>
          <w:trHeight w:val="80"/>
        </w:trPr>
        <w:tc>
          <w:tcPr>
            <w:tcW w:w="10883" w:type="dxa"/>
            <w:shd w:val="clear" w:color="auto" w:fill="auto"/>
            <w:noWrap/>
            <w:vAlign w:val="center"/>
          </w:tcPr>
          <w:p w14:paraId="768B92AC" w14:textId="77777777" w:rsidR="000B57CF" w:rsidRPr="00A76C12"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incident response and containment by isolating infected endpoints from the network, whilst still maintaining communication with agents to support investigation.</w:t>
            </w:r>
            <w:r>
              <w:rPr>
                <w:rFonts w:asciiTheme="minorHAnsi" w:hAnsiTheme="minorHAnsi" w:cstheme="minorHAnsi"/>
                <w:sz w:val="22"/>
                <w:szCs w:val="22"/>
              </w:rPr>
              <w:t xml:space="preserve"> Isolate infected endpoints </w:t>
            </w:r>
            <w:r w:rsidRPr="00A76C12">
              <w:rPr>
                <w:rFonts w:asciiTheme="minorHAnsi" w:hAnsiTheme="minorHAnsi" w:cstheme="minorHAnsi"/>
                <w:sz w:val="22"/>
                <w:szCs w:val="22"/>
              </w:rPr>
              <w:t>should not take more than 1 minute.</w:t>
            </w:r>
          </w:p>
        </w:tc>
      </w:tr>
      <w:tr w:rsidR="000B57CF" w:rsidRPr="004169F5" w14:paraId="14F5325C" w14:textId="77777777" w:rsidTr="000235F8">
        <w:trPr>
          <w:trHeight w:val="80"/>
        </w:trPr>
        <w:tc>
          <w:tcPr>
            <w:tcW w:w="10883" w:type="dxa"/>
            <w:shd w:val="clear" w:color="auto" w:fill="auto"/>
            <w:noWrap/>
            <w:vAlign w:val="center"/>
          </w:tcPr>
          <w:p w14:paraId="425D6B96"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be capable of supporting feeds from internal and/or 3rd party data sources for (Threat Intelligence data, Malware/Malicious code data...)</w:t>
            </w:r>
          </w:p>
        </w:tc>
      </w:tr>
      <w:tr w:rsidR="000B57CF" w:rsidRPr="004169F5" w14:paraId="2D173B09" w14:textId="77777777" w:rsidTr="000235F8">
        <w:trPr>
          <w:trHeight w:val="710"/>
        </w:trPr>
        <w:tc>
          <w:tcPr>
            <w:tcW w:w="10883" w:type="dxa"/>
            <w:shd w:val="clear" w:color="auto" w:fill="auto"/>
            <w:noWrap/>
            <w:vAlign w:val="center"/>
          </w:tcPr>
          <w:p w14:paraId="1D99B73C"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lastRenderedPageBreak/>
              <w:t>The solution management interfaces should be intuitive and flexible, it should allow for graphical explanation of an alert or an attack.</w:t>
            </w:r>
          </w:p>
        </w:tc>
      </w:tr>
      <w:tr w:rsidR="000B57CF" w:rsidRPr="004169F5" w14:paraId="1B1F7A4C" w14:textId="77777777" w:rsidTr="000235F8">
        <w:trPr>
          <w:trHeight w:val="575"/>
        </w:trPr>
        <w:tc>
          <w:tcPr>
            <w:tcW w:w="10883" w:type="dxa"/>
            <w:shd w:val="clear" w:color="auto" w:fill="auto"/>
            <w:noWrap/>
            <w:vAlign w:val="center"/>
          </w:tcPr>
          <w:p w14:paraId="6F40919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searching functionalities even when the machine is offline or has been reimaged.</w:t>
            </w:r>
          </w:p>
        </w:tc>
      </w:tr>
      <w:tr w:rsidR="000B57CF" w:rsidRPr="004169F5" w14:paraId="189B1948" w14:textId="77777777" w:rsidTr="000235F8">
        <w:trPr>
          <w:trHeight w:val="575"/>
        </w:trPr>
        <w:tc>
          <w:tcPr>
            <w:tcW w:w="10883" w:type="dxa"/>
            <w:shd w:val="clear" w:color="auto" w:fill="auto"/>
            <w:noWrap/>
            <w:vAlign w:val="center"/>
          </w:tcPr>
          <w:p w14:paraId="21A38110"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real time remote access to the endpoints and allows for both command and script execution.</w:t>
            </w:r>
          </w:p>
        </w:tc>
      </w:tr>
      <w:tr w:rsidR="000B57CF" w:rsidRPr="004169F5" w14:paraId="6CFDB9EA" w14:textId="77777777" w:rsidTr="000235F8">
        <w:trPr>
          <w:trHeight w:val="575"/>
        </w:trPr>
        <w:tc>
          <w:tcPr>
            <w:tcW w:w="10883" w:type="dxa"/>
            <w:shd w:val="clear" w:color="auto" w:fill="auto"/>
            <w:noWrap/>
            <w:vAlign w:val="center"/>
          </w:tcPr>
          <w:p w14:paraId="1125AA2A"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the capability of creating incidents by corelating related detections, associated processes, and the connections between them to show coordinated activity you should prioritize for investigation.</w:t>
            </w:r>
          </w:p>
        </w:tc>
      </w:tr>
      <w:tr w:rsidR="000B57CF" w:rsidRPr="004169F5" w14:paraId="05980883" w14:textId="77777777" w:rsidTr="000235F8">
        <w:trPr>
          <w:trHeight w:val="575"/>
        </w:trPr>
        <w:tc>
          <w:tcPr>
            <w:tcW w:w="10883" w:type="dxa"/>
            <w:shd w:val="clear" w:color="auto" w:fill="auto"/>
            <w:noWrap/>
            <w:vAlign w:val="center"/>
          </w:tcPr>
          <w:p w14:paraId="5CD229BC"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automatic incident scoring to assist analysts in prioritizing what to work on.</w:t>
            </w:r>
          </w:p>
        </w:tc>
      </w:tr>
      <w:tr w:rsidR="000B57CF" w:rsidRPr="004169F5" w14:paraId="5CA4277E" w14:textId="77777777" w:rsidTr="000235F8">
        <w:trPr>
          <w:trHeight w:val="440"/>
        </w:trPr>
        <w:tc>
          <w:tcPr>
            <w:tcW w:w="10883" w:type="dxa"/>
            <w:shd w:val="clear" w:color="auto" w:fill="auto"/>
            <w:noWrap/>
            <w:vAlign w:val="center"/>
          </w:tcPr>
          <w:p w14:paraId="348B3CB1"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the ability to allow threat hunting and data exploration</w:t>
            </w:r>
          </w:p>
        </w:tc>
      </w:tr>
      <w:tr w:rsidR="000B57CF" w:rsidRPr="004169F5" w14:paraId="352023EB" w14:textId="77777777" w:rsidTr="000235F8">
        <w:trPr>
          <w:trHeight w:val="620"/>
        </w:trPr>
        <w:tc>
          <w:tcPr>
            <w:tcW w:w="10883" w:type="dxa"/>
            <w:shd w:val="clear" w:color="auto" w:fill="auto"/>
            <w:noWrap/>
            <w:vAlign w:val="center"/>
          </w:tcPr>
          <w:p w14:paraId="208BFAC5"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the ability to collect data from endpoints that are not connected to the enterprise network, but rather are Internet-connected.</w:t>
            </w:r>
          </w:p>
        </w:tc>
      </w:tr>
      <w:tr w:rsidR="000B57CF" w:rsidRPr="004169F5" w14:paraId="2BAAAB36" w14:textId="77777777" w:rsidTr="000235F8">
        <w:trPr>
          <w:trHeight w:val="440"/>
        </w:trPr>
        <w:tc>
          <w:tcPr>
            <w:tcW w:w="10883" w:type="dxa"/>
            <w:shd w:val="clear" w:color="auto" w:fill="auto"/>
            <w:noWrap/>
          </w:tcPr>
          <w:p w14:paraId="2D0ECBBC"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Visual trends and patterns of recorded events, and facilitate further searches of graphical presentations.</w:t>
            </w:r>
          </w:p>
        </w:tc>
      </w:tr>
      <w:tr w:rsidR="000B57CF" w:rsidRPr="004169F5" w14:paraId="6B660E2F" w14:textId="77777777" w:rsidTr="000235F8">
        <w:trPr>
          <w:trHeight w:val="440"/>
        </w:trPr>
        <w:tc>
          <w:tcPr>
            <w:tcW w:w="10883" w:type="dxa"/>
            <w:shd w:val="clear" w:color="auto" w:fill="auto"/>
            <w:noWrap/>
          </w:tcPr>
          <w:p w14:paraId="4D770E22"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ML scanning capabilities and not signature based</w:t>
            </w:r>
          </w:p>
        </w:tc>
      </w:tr>
      <w:tr w:rsidR="000B57CF" w:rsidRPr="004169F5" w14:paraId="61B10F49" w14:textId="77777777" w:rsidTr="000235F8">
        <w:trPr>
          <w:trHeight w:val="926"/>
        </w:trPr>
        <w:tc>
          <w:tcPr>
            <w:tcW w:w="10883" w:type="dxa"/>
            <w:shd w:val="clear" w:color="auto" w:fill="auto"/>
            <w:noWrap/>
            <w:vAlign w:val="center"/>
          </w:tcPr>
          <w:p w14:paraId="453B0720" w14:textId="77777777" w:rsidR="000B57CF" w:rsidRPr="004169F5" w:rsidRDefault="000B57CF" w:rsidP="000235F8">
            <w:pPr>
              <w:jc w:val="center"/>
              <w:rPr>
                <w:rFonts w:asciiTheme="minorHAnsi" w:hAnsiTheme="minorHAnsi" w:cstheme="minorHAnsi"/>
                <w:b/>
                <w:bCs/>
                <w:sz w:val="22"/>
                <w:szCs w:val="22"/>
              </w:rPr>
            </w:pPr>
          </w:p>
          <w:p w14:paraId="048D3FC1" w14:textId="77777777" w:rsidR="000B57CF" w:rsidRPr="004169F5" w:rsidRDefault="000B57CF" w:rsidP="000235F8">
            <w:pPr>
              <w:jc w:val="center"/>
              <w:rPr>
                <w:rFonts w:asciiTheme="minorHAnsi" w:hAnsiTheme="minorHAnsi" w:cstheme="minorHAnsi"/>
                <w:b/>
                <w:bCs/>
                <w:sz w:val="22"/>
                <w:szCs w:val="22"/>
              </w:rPr>
            </w:pPr>
          </w:p>
          <w:p w14:paraId="39D37C85" w14:textId="77777777" w:rsidR="000B57CF" w:rsidRPr="004169F5" w:rsidRDefault="000B57CF" w:rsidP="000235F8">
            <w:pPr>
              <w:jc w:val="center"/>
              <w:rPr>
                <w:rFonts w:asciiTheme="minorHAnsi" w:hAnsiTheme="minorHAnsi" w:cstheme="minorHAnsi"/>
                <w:b/>
                <w:bCs/>
                <w:sz w:val="22"/>
                <w:szCs w:val="22"/>
              </w:rPr>
            </w:pPr>
          </w:p>
          <w:p w14:paraId="015CD702" w14:textId="77777777" w:rsidR="000B57CF" w:rsidRPr="004169F5" w:rsidRDefault="000B57CF" w:rsidP="000235F8">
            <w:pPr>
              <w:jc w:val="center"/>
              <w:rPr>
                <w:rFonts w:asciiTheme="minorHAnsi" w:hAnsiTheme="minorHAnsi" w:cstheme="minorHAnsi"/>
                <w:sz w:val="22"/>
                <w:szCs w:val="22"/>
              </w:rPr>
            </w:pPr>
            <w:r w:rsidRPr="004169F5">
              <w:rPr>
                <w:rFonts w:asciiTheme="minorHAnsi" w:hAnsiTheme="minorHAnsi" w:cstheme="minorHAnsi"/>
                <w:b/>
                <w:bCs/>
                <w:sz w:val="22"/>
                <w:szCs w:val="22"/>
              </w:rPr>
              <w:t>Device Control</w:t>
            </w:r>
          </w:p>
        </w:tc>
      </w:tr>
      <w:tr w:rsidR="000B57CF" w:rsidRPr="004169F5" w14:paraId="1D08938E" w14:textId="77777777" w:rsidTr="000235F8">
        <w:trPr>
          <w:trHeight w:val="431"/>
        </w:trPr>
        <w:tc>
          <w:tcPr>
            <w:tcW w:w="10883" w:type="dxa"/>
            <w:shd w:val="clear" w:color="auto" w:fill="auto"/>
            <w:noWrap/>
            <w:vAlign w:val="center"/>
          </w:tcPr>
          <w:p w14:paraId="60A46020"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provide device control capabilities</w:t>
            </w:r>
          </w:p>
        </w:tc>
      </w:tr>
      <w:tr w:rsidR="000B57CF" w:rsidRPr="004169F5" w14:paraId="4E8CF5C0" w14:textId="77777777" w:rsidTr="000235F8">
        <w:trPr>
          <w:trHeight w:val="440"/>
        </w:trPr>
        <w:tc>
          <w:tcPr>
            <w:tcW w:w="10883" w:type="dxa"/>
            <w:shd w:val="clear" w:color="auto" w:fill="auto"/>
            <w:noWrap/>
            <w:vAlign w:val="center"/>
          </w:tcPr>
          <w:p w14:paraId="6D115F96"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color w:val="000000"/>
                <w:sz w:val="22"/>
                <w:szCs w:val="22"/>
              </w:rPr>
              <w:t>Define device control policies for endpoint groups</w:t>
            </w:r>
          </w:p>
        </w:tc>
      </w:tr>
      <w:tr w:rsidR="000B57CF" w:rsidRPr="004169F5" w14:paraId="327D2F18" w14:textId="77777777" w:rsidTr="000235F8">
        <w:trPr>
          <w:trHeight w:val="350"/>
        </w:trPr>
        <w:tc>
          <w:tcPr>
            <w:tcW w:w="10883" w:type="dxa"/>
            <w:shd w:val="clear" w:color="auto" w:fill="auto"/>
            <w:noWrap/>
            <w:vAlign w:val="center"/>
          </w:tcPr>
          <w:p w14:paraId="10BCB51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color w:val="000000"/>
                <w:sz w:val="22"/>
                <w:szCs w:val="22"/>
              </w:rPr>
              <w:t>Allow list and blocklist devices by class, vendor, product serial number and/or specific device ID</w:t>
            </w:r>
          </w:p>
        </w:tc>
      </w:tr>
      <w:tr w:rsidR="000B57CF" w:rsidRPr="004169F5" w14:paraId="7F752E1B" w14:textId="77777777" w:rsidTr="000235F8">
        <w:trPr>
          <w:trHeight w:val="350"/>
        </w:trPr>
        <w:tc>
          <w:tcPr>
            <w:tcW w:w="10883" w:type="dxa"/>
            <w:shd w:val="clear" w:color="auto" w:fill="auto"/>
            <w:noWrap/>
            <w:vAlign w:val="center"/>
          </w:tcPr>
          <w:p w14:paraId="0784747A"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color w:val="000000"/>
                <w:sz w:val="22"/>
                <w:szCs w:val="22"/>
              </w:rPr>
              <w:t>Provides alerts and dashboards allow you to see how policies will impact users before enabling enforcement</w:t>
            </w:r>
          </w:p>
        </w:tc>
      </w:tr>
      <w:tr w:rsidR="000B57CF" w:rsidRPr="004169F5" w14:paraId="5D01213C" w14:textId="77777777" w:rsidTr="000235F8">
        <w:trPr>
          <w:trHeight w:val="440"/>
        </w:trPr>
        <w:tc>
          <w:tcPr>
            <w:tcW w:w="10883" w:type="dxa"/>
            <w:shd w:val="clear" w:color="auto" w:fill="auto"/>
            <w:noWrap/>
            <w:vAlign w:val="center"/>
          </w:tcPr>
          <w:p w14:paraId="4D76AE14"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color w:val="000000"/>
                <w:sz w:val="22"/>
                <w:szCs w:val="22"/>
              </w:rPr>
              <w:t>Allow read/write or read-only access, while blocking execution of applications on USB drives</w:t>
            </w:r>
          </w:p>
        </w:tc>
      </w:tr>
      <w:tr w:rsidR="000B57CF" w:rsidRPr="004169F5" w14:paraId="2E85719D" w14:textId="77777777" w:rsidTr="000235F8">
        <w:trPr>
          <w:trHeight w:val="530"/>
        </w:trPr>
        <w:tc>
          <w:tcPr>
            <w:tcW w:w="10883" w:type="dxa"/>
            <w:shd w:val="clear" w:color="auto" w:fill="auto"/>
            <w:noWrap/>
            <w:vAlign w:val="center"/>
          </w:tcPr>
          <w:p w14:paraId="0F64F130"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color w:val="000000"/>
                <w:sz w:val="22"/>
                <w:szCs w:val="22"/>
              </w:rPr>
              <w:t>Monitor files written to storage, giving visibility into what's being copied to device</w:t>
            </w:r>
          </w:p>
        </w:tc>
      </w:tr>
      <w:tr w:rsidR="000B57CF" w:rsidRPr="004169F5" w14:paraId="3831180A" w14:textId="77777777" w:rsidTr="000235F8">
        <w:trPr>
          <w:trHeight w:val="926"/>
        </w:trPr>
        <w:tc>
          <w:tcPr>
            <w:tcW w:w="10883" w:type="dxa"/>
            <w:shd w:val="clear" w:color="auto" w:fill="auto"/>
            <w:noWrap/>
            <w:vAlign w:val="center"/>
          </w:tcPr>
          <w:p w14:paraId="50647032" w14:textId="77777777" w:rsidR="000B57CF" w:rsidRPr="004169F5" w:rsidRDefault="000B57CF" w:rsidP="000235F8">
            <w:pPr>
              <w:jc w:val="center"/>
              <w:rPr>
                <w:rFonts w:asciiTheme="minorHAnsi" w:hAnsiTheme="minorHAnsi" w:cstheme="minorHAnsi"/>
                <w:sz w:val="22"/>
                <w:szCs w:val="22"/>
              </w:rPr>
            </w:pPr>
            <w:r w:rsidRPr="004169F5">
              <w:rPr>
                <w:rFonts w:asciiTheme="minorHAnsi" w:hAnsiTheme="minorHAnsi" w:cstheme="minorHAnsi"/>
                <w:b/>
                <w:bCs/>
                <w:sz w:val="22"/>
                <w:szCs w:val="22"/>
              </w:rPr>
              <w:t>SIEM</w:t>
            </w:r>
          </w:p>
        </w:tc>
      </w:tr>
      <w:tr w:rsidR="000B57CF" w:rsidRPr="004169F5" w14:paraId="53D81743" w14:textId="77777777" w:rsidTr="000235F8">
        <w:trPr>
          <w:trHeight w:val="494"/>
        </w:trPr>
        <w:tc>
          <w:tcPr>
            <w:tcW w:w="10883" w:type="dxa"/>
            <w:shd w:val="clear" w:color="auto" w:fill="auto"/>
            <w:noWrap/>
            <w:vAlign w:val="center"/>
          </w:tcPr>
          <w:p w14:paraId="4E74045C"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be cloud native</w:t>
            </w:r>
          </w:p>
        </w:tc>
      </w:tr>
      <w:tr w:rsidR="000B57CF" w:rsidRPr="004169F5" w14:paraId="5DA8477A" w14:textId="77777777" w:rsidTr="000235F8">
        <w:trPr>
          <w:trHeight w:val="440"/>
        </w:trPr>
        <w:tc>
          <w:tcPr>
            <w:tcW w:w="10883" w:type="dxa"/>
            <w:shd w:val="clear" w:color="auto" w:fill="auto"/>
            <w:noWrap/>
            <w:vAlign w:val="center"/>
          </w:tcPr>
          <w:p w14:paraId="24013704"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correlation capabilities</w:t>
            </w:r>
          </w:p>
        </w:tc>
      </w:tr>
      <w:tr w:rsidR="000B57CF" w:rsidRPr="004169F5" w14:paraId="56FB4165" w14:textId="77777777" w:rsidTr="000235F8">
        <w:trPr>
          <w:trHeight w:val="440"/>
        </w:trPr>
        <w:tc>
          <w:tcPr>
            <w:tcW w:w="10883" w:type="dxa"/>
            <w:shd w:val="clear" w:color="auto" w:fill="auto"/>
            <w:noWrap/>
            <w:vAlign w:val="center"/>
          </w:tcPr>
          <w:p w14:paraId="1BCB07E9"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out of the box connectors</w:t>
            </w:r>
          </w:p>
        </w:tc>
      </w:tr>
      <w:tr w:rsidR="000B57CF" w:rsidRPr="004169F5" w14:paraId="68A2BDC9" w14:textId="77777777" w:rsidTr="000235F8">
        <w:trPr>
          <w:trHeight w:val="440"/>
        </w:trPr>
        <w:tc>
          <w:tcPr>
            <w:tcW w:w="10883" w:type="dxa"/>
            <w:shd w:val="clear" w:color="auto" w:fill="auto"/>
            <w:noWrap/>
            <w:vAlign w:val="center"/>
          </w:tcPr>
          <w:p w14:paraId="0008B209"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out of the box correlations</w:t>
            </w:r>
          </w:p>
        </w:tc>
      </w:tr>
      <w:tr w:rsidR="000B57CF" w:rsidRPr="004169F5" w14:paraId="2FDCFB33" w14:textId="77777777" w:rsidTr="000235F8">
        <w:trPr>
          <w:trHeight w:val="620"/>
        </w:trPr>
        <w:tc>
          <w:tcPr>
            <w:tcW w:w="10883" w:type="dxa"/>
            <w:shd w:val="clear" w:color="auto" w:fill="auto"/>
            <w:noWrap/>
            <w:vAlign w:val="center"/>
          </w:tcPr>
          <w:p w14:paraId="4657C2E7"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 xml:space="preserve">SIEM solution should provide support syslog </w:t>
            </w:r>
          </w:p>
        </w:tc>
      </w:tr>
      <w:tr w:rsidR="000B57CF" w:rsidRPr="004169F5" w14:paraId="7930B66A" w14:textId="77777777" w:rsidTr="000235F8">
        <w:trPr>
          <w:trHeight w:val="440"/>
        </w:trPr>
        <w:tc>
          <w:tcPr>
            <w:tcW w:w="10883" w:type="dxa"/>
            <w:shd w:val="clear" w:color="auto" w:fill="auto"/>
            <w:noWrap/>
            <w:vAlign w:val="center"/>
          </w:tcPr>
          <w:p w14:paraId="4B9DA0DA"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HEC connector for 3</w:t>
            </w:r>
            <w:r w:rsidRPr="004169F5">
              <w:rPr>
                <w:rFonts w:asciiTheme="minorHAnsi" w:hAnsiTheme="minorHAnsi" w:cs="Calibri"/>
                <w:sz w:val="22"/>
                <w:szCs w:val="22"/>
                <w:vertAlign w:val="superscript"/>
              </w:rPr>
              <w:t>rd</w:t>
            </w:r>
            <w:r w:rsidRPr="004169F5">
              <w:rPr>
                <w:rFonts w:asciiTheme="minorHAnsi" w:hAnsiTheme="minorHAnsi" w:cs="Calibri"/>
                <w:sz w:val="22"/>
                <w:szCs w:val="22"/>
              </w:rPr>
              <w:t xml:space="preserve"> party integration</w:t>
            </w:r>
          </w:p>
        </w:tc>
      </w:tr>
      <w:tr w:rsidR="000B57CF" w:rsidRPr="004169F5" w14:paraId="2564BCBA" w14:textId="77777777" w:rsidTr="000235F8">
        <w:trPr>
          <w:trHeight w:val="440"/>
        </w:trPr>
        <w:tc>
          <w:tcPr>
            <w:tcW w:w="10883" w:type="dxa"/>
            <w:shd w:val="clear" w:color="auto" w:fill="auto"/>
            <w:noWrap/>
            <w:vAlign w:val="center"/>
          </w:tcPr>
          <w:p w14:paraId="5CD2FDF0"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lastRenderedPageBreak/>
              <w:t>SIEM solution should provide connector health with last log received per connector</w:t>
            </w:r>
          </w:p>
        </w:tc>
      </w:tr>
      <w:tr w:rsidR="000B57CF" w:rsidRPr="004169F5" w14:paraId="7F61AB6E" w14:textId="77777777" w:rsidTr="000235F8">
        <w:trPr>
          <w:trHeight w:val="350"/>
        </w:trPr>
        <w:tc>
          <w:tcPr>
            <w:tcW w:w="10883" w:type="dxa"/>
            <w:shd w:val="clear" w:color="auto" w:fill="auto"/>
            <w:noWrap/>
            <w:vAlign w:val="center"/>
          </w:tcPr>
          <w:p w14:paraId="24A8EB90"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 xml:space="preserve">SIEM solution should provide summary ingestion for last 24 </w:t>
            </w:r>
            <w:proofErr w:type="spellStart"/>
            <w:r w:rsidRPr="004169F5">
              <w:rPr>
                <w:rFonts w:asciiTheme="minorHAnsi" w:hAnsiTheme="minorHAnsi" w:cs="Calibri"/>
                <w:sz w:val="22"/>
                <w:szCs w:val="22"/>
              </w:rPr>
              <w:t>hrs</w:t>
            </w:r>
            <w:proofErr w:type="spellEnd"/>
          </w:p>
        </w:tc>
      </w:tr>
      <w:tr w:rsidR="000B57CF" w:rsidRPr="004169F5" w14:paraId="096748B3" w14:textId="77777777" w:rsidTr="000235F8">
        <w:trPr>
          <w:trHeight w:val="350"/>
        </w:trPr>
        <w:tc>
          <w:tcPr>
            <w:tcW w:w="10883" w:type="dxa"/>
            <w:shd w:val="clear" w:color="auto" w:fill="auto"/>
            <w:noWrap/>
            <w:vAlign w:val="center"/>
          </w:tcPr>
          <w:p w14:paraId="60FA9D09"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parsers out of the box</w:t>
            </w:r>
          </w:p>
        </w:tc>
      </w:tr>
      <w:tr w:rsidR="000B57CF" w:rsidRPr="004169F5" w14:paraId="325CE87E" w14:textId="77777777" w:rsidTr="000235F8">
        <w:trPr>
          <w:trHeight w:val="350"/>
        </w:trPr>
        <w:tc>
          <w:tcPr>
            <w:tcW w:w="10883" w:type="dxa"/>
            <w:shd w:val="clear" w:color="auto" w:fill="auto"/>
            <w:noWrap/>
            <w:vAlign w:val="center"/>
          </w:tcPr>
          <w:p w14:paraId="5A5CBA1E"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capability to create custom parsers</w:t>
            </w:r>
          </w:p>
        </w:tc>
      </w:tr>
      <w:tr w:rsidR="000B57CF" w:rsidRPr="004169F5" w14:paraId="61D8FB8C" w14:textId="77777777" w:rsidTr="000235F8">
        <w:trPr>
          <w:trHeight w:val="350"/>
        </w:trPr>
        <w:tc>
          <w:tcPr>
            <w:tcW w:w="10883" w:type="dxa"/>
            <w:shd w:val="clear" w:color="auto" w:fill="auto"/>
            <w:noWrap/>
            <w:vAlign w:val="center"/>
          </w:tcPr>
          <w:p w14:paraId="314FEA37"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 xml:space="preserve">SIEM solution should provide alerts if data not ingested for a connector in the last 24 </w:t>
            </w:r>
            <w:proofErr w:type="spellStart"/>
            <w:r w:rsidRPr="004169F5">
              <w:rPr>
                <w:rFonts w:asciiTheme="minorHAnsi" w:hAnsiTheme="minorHAnsi" w:cs="Calibri"/>
                <w:sz w:val="22"/>
                <w:szCs w:val="22"/>
              </w:rPr>
              <w:t>hrs</w:t>
            </w:r>
            <w:proofErr w:type="spellEnd"/>
          </w:p>
        </w:tc>
      </w:tr>
      <w:tr w:rsidR="000B57CF" w:rsidRPr="004169F5" w14:paraId="47E8C0EE" w14:textId="77777777" w:rsidTr="000235F8">
        <w:trPr>
          <w:trHeight w:val="350"/>
        </w:trPr>
        <w:tc>
          <w:tcPr>
            <w:tcW w:w="10883" w:type="dxa"/>
            <w:shd w:val="clear" w:color="auto" w:fill="auto"/>
            <w:noWrap/>
            <w:vAlign w:val="center"/>
          </w:tcPr>
          <w:p w14:paraId="5C371335"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dedicated query language for search</w:t>
            </w:r>
          </w:p>
        </w:tc>
      </w:tr>
      <w:tr w:rsidR="000B57CF" w:rsidRPr="004169F5" w14:paraId="39620012" w14:textId="77777777" w:rsidTr="000235F8">
        <w:trPr>
          <w:trHeight w:val="440"/>
        </w:trPr>
        <w:tc>
          <w:tcPr>
            <w:tcW w:w="10883" w:type="dxa"/>
            <w:shd w:val="clear" w:color="auto" w:fill="auto"/>
            <w:noWrap/>
            <w:vAlign w:val="center"/>
          </w:tcPr>
          <w:p w14:paraId="473E3AC9"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out of the box fields for easy search</w:t>
            </w:r>
          </w:p>
        </w:tc>
      </w:tr>
      <w:tr w:rsidR="000B57CF" w:rsidRPr="004169F5" w14:paraId="245BEF5B" w14:textId="77777777" w:rsidTr="000235F8">
        <w:trPr>
          <w:trHeight w:val="440"/>
        </w:trPr>
        <w:tc>
          <w:tcPr>
            <w:tcW w:w="10883" w:type="dxa"/>
            <w:shd w:val="clear" w:color="auto" w:fill="auto"/>
            <w:noWrap/>
            <w:vAlign w:val="center"/>
          </w:tcPr>
          <w:p w14:paraId="7FA97E37"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the capability the merge of multiple detections into one incident</w:t>
            </w:r>
          </w:p>
        </w:tc>
      </w:tr>
      <w:tr w:rsidR="000B57CF" w:rsidRPr="004169F5" w14:paraId="1AC76B0C" w14:textId="77777777" w:rsidTr="000235F8">
        <w:trPr>
          <w:trHeight w:val="350"/>
        </w:trPr>
        <w:tc>
          <w:tcPr>
            <w:tcW w:w="10883" w:type="dxa"/>
            <w:shd w:val="clear" w:color="auto" w:fill="auto"/>
            <w:noWrap/>
            <w:vAlign w:val="center"/>
          </w:tcPr>
          <w:p w14:paraId="75FA34C5"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have native correlation with the vendor intelligence</w:t>
            </w:r>
          </w:p>
        </w:tc>
      </w:tr>
      <w:tr w:rsidR="000B57CF" w:rsidRPr="004169F5" w14:paraId="2B2511B1" w14:textId="77777777" w:rsidTr="000235F8">
        <w:trPr>
          <w:trHeight w:val="350"/>
        </w:trPr>
        <w:tc>
          <w:tcPr>
            <w:tcW w:w="10883" w:type="dxa"/>
            <w:shd w:val="clear" w:color="auto" w:fill="auto"/>
            <w:noWrap/>
            <w:vAlign w:val="center"/>
          </w:tcPr>
          <w:p w14:paraId="6F625A0A"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map the detections MITRE ATT&amp;CK KILL Chain</w:t>
            </w:r>
          </w:p>
        </w:tc>
      </w:tr>
      <w:tr w:rsidR="000B57CF" w:rsidRPr="004169F5" w14:paraId="3C83F88B" w14:textId="77777777" w:rsidTr="000235F8">
        <w:trPr>
          <w:trHeight w:val="350"/>
        </w:trPr>
        <w:tc>
          <w:tcPr>
            <w:tcW w:w="10883" w:type="dxa"/>
            <w:shd w:val="clear" w:color="auto" w:fill="auto"/>
            <w:noWrap/>
            <w:vAlign w:val="center"/>
          </w:tcPr>
          <w:p w14:paraId="4824880B"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have native dashboards</w:t>
            </w:r>
          </w:p>
        </w:tc>
      </w:tr>
      <w:tr w:rsidR="000B57CF" w:rsidRPr="004169F5" w14:paraId="718ECF83" w14:textId="77777777" w:rsidTr="000235F8">
        <w:trPr>
          <w:trHeight w:val="440"/>
        </w:trPr>
        <w:tc>
          <w:tcPr>
            <w:tcW w:w="10883" w:type="dxa"/>
            <w:shd w:val="clear" w:color="auto" w:fill="auto"/>
            <w:noWrap/>
            <w:vAlign w:val="center"/>
          </w:tcPr>
          <w:p w14:paraId="2DE2D193"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allow custom dashboards</w:t>
            </w:r>
          </w:p>
        </w:tc>
      </w:tr>
      <w:tr w:rsidR="000B57CF" w:rsidRPr="004169F5" w14:paraId="562749C5" w14:textId="77777777" w:rsidTr="000235F8">
        <w:trPr>
          <w:trHeight w:val="440"/>
        </w:trPr>
        <w:tc>
          <w:tcPr>
            <w:tcW w:w="10883" w:type="dxa"/>
            <w:shd w:val="clear" w:color="auto" w:fill="auto"/>
            <w:noWrap/>
            <w:vAlign w:val="center"/>
          </w:tcPr>
          <w:p w14:paraId="0EBBD000"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have native SOAR capabilities</w:t>
            </w:r>
          </w:p>
        </w:tc>
      </w:tr>
      <w:tr w:rsidR="000B57CF" w:rsidRPr="004169F5" w14:paraId="609A587A" w14:textId="77777777" w:rsidTr="000235F8">
        <w:trPr>
          <w:trHeight w:val="440"/>
        </w:trPr>
        <w:tc>
          <w:tcPr>
            <w:tcW w:w="10883" w:type="dxa"/>
            <w:shd w:val="clear" w:color="auto" w:fill="auto"/>
            <w:noWrap/>
            <w:vAlign w:val="center"/>
          </w:tcPr>
          <w:p w14:paraId="3C45E621"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Incident Workbench for investigation</w:t>
            </w:r>
          </w:p>
        </w:tc>
      </w:tr>
      <w:tr w:rsidR="000B57CF" w:rsidRPr="004169F5" w14:paraId="0B8F264C" w14:textId="77777777" w:rsidTr="000235F8">
        <w:trPr>
          <w:trHeight w:val="440"/>
        </w:trPr>
        <w:tc>
          <w:tcPr>
            <w:tcW w:w="10883" w:type="dxa"/>
            <w:shd w:val="clear" w:color="auto" w:fill="auto"/>
            <w:noWrap/>
            <w:vAlign w:val="center"/>
          </w:tcPr>
          <w:p w14:paraId="1C412E05"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capability to have multiple analyst work in real time on the Incident Workbench</w:t>
            </w:r>
          </w:p>
        </w:tc>
      </w:tr>
      <w:tr w:rsidR="000B57CF" w:rsidRPr="004169F5" w14:paraId="25ACCC23" w14:textId="77777777" w:rsidTr="000235F8">
        <w:trPr>
          <w:trHeight w:val="440"/>
        </w:trPr>
        <w:tc>
          <w:tcPr>
            <w:tcW w:w="10883" w:type="dxa"/>
            <w:shd w:val="clear" w:color="auto" w:fill="auto"/>
            <w:noWrap/>
            <w:vAlign w:val="center"/>
          </w:tcPr>
          <w:p w14:paraId="0DBCF918"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the capability drilldown on actions through graphical timeline</w:t>
            </w:r>
          </w:p>
        </w:tc>
      </w:tr>
      <w:tr w:rsidR="000B57CF" w:rsidRPr="004169F5" w14:paraId="77908B2A" w14:textId="77777777" w:rsidTr="000235F8">
        <w:trPr>
          <w:trHeight w:val="350"/>
        </w:trPr>
        <w:tc>
          <w:tcPr>
            <w:tcW w:w="10883" w:type="dxa"/>
            <w:shd w:val="clear" w:color="auto" w:fill="auto"/>
            <w:noWrap/>
            <w:vAlign w:val="center"/>
          </w:tcPr>
          <w:p w14:paraId="712019F4"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Vendor should be a leader in cloud native security platforms</w:t>
            </w:r>
          </w:p>
        </w:tc>
      </w:tr>
      <w:tr w:rsidR="000B57CF" w:rsidRPr="004169F5" w14:paraId="1B16DA57" w14:textId="77777777" w:rsidTr="000235F8">
        <w:trPr>
          <w:trHeight w:val="350"/>
        </w:trPr>
        <w:tc>
          <w:tcPr>
            <w:tcW w:w="10883" w:type="dxa"/>
            <w:shd w:val="clear" w:color="auto" w:fill="auto"/>
            <w:noWrap/>
            <w:vAlign w:val="center"/>
          </w:tcPr>
          <w:p w14:paraId="7F37CF41"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 xml:space="preserve">Vendor should be able to ingest its own EDR Telemetry </w:t>
            </w:r>
          </w:p>
        </w:tc>
      </w:tr>
      <w:tr w:rsidR="000B57CF" w:rsidRPr="004169F5" w14:paraId="110FB6A5" w14:textId="77777777" w:rsidTr="000235F8">
        <w:trPr>
          <w:trHeight w:val="350"/>
        </w:trPr>
        <w:tc>
          <w:tcPr>
            <w:tcW w:w="10883" w:type="dxa"/>
            <w:shd w:val="clear" w:color="auto" w:fill="auto"/>
            <w:noWrap/>
            <w:vAlign w:val="center"/>
          </w:tcPr>
          <w:p w14:paraId="56C2FA78"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Calibri"/>
                <w:sz w:val="22"/>
                <w:szCs w:val="22"/>
              </w:rPr>
              <w:t>SIEM solution should provide minimum 30 days retention</w:t>
            </w:r>
          </w:p>
        </w:tc>
      </w:tr>
      <w:tr w:rsidR="000B57CF" w:rsidRPr="004169F5" w14:paraId="5262EDD4" w14:textId="77777777" w:rsidTr="000235F8">
        <w:trPr>
          <w:trHeight w:val="926"/>
        </w:trPr>
        <w:tc>
          <w:tcPr>
            <w:tcW w:w="10883" w:type="dxa"/>
            <w:shd w:val="clear" w:color="auto" w:fill="auto"/>
            <w:noWrap/>
            <w:vAlign w:val="center"/>
          </w:tcPr>
          <w:p w14:paraId="22DEA4B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must Monitor network traffic to expose </w:t>
            </w:r>
            <w:hyperlink r:id="rId9">
              <w:r w:rsidRPr="004169F5">
                <w:rPr>
                  <w:rFonts w:asciiTheme="minorHAnsi" w:hAnsiTheme="minorHAnsi" w:cstheme="minorHAnsi"/>
                  <w:sz w:val="22"/>
                  <w:szCs w:val="22"/>
                </w:rPr>
                <w:t>mobile malware</w:t>
              </w:r>
            </w:hyperlink>
            <w:r w:rsidRPr="004169F5">
              <w:rPr>
                <w:rFonts w:asciiTheme="minorHAnsi" w:hAnsiTheme="minorHAnsi" w:cstheme="minorHAnsi"/>
                <w:sz w:val="22"/>
                <w:szCs w:val="22"/>
              </w:rPr>
              <w:t>, network interference, spoofing, insider threats and accidental exposure of sensitive data. Detect vulnerable devices — including jailbroken devices, non-compliant configurations and outdated OS versions — to protect against sophisticated kernel, boot-level and OS exploits.</w:t>
            </w:r>
          </w:p>
        </w:tc>
      </w:tr>
      <w:tr w:rsidR="000B57CF" w:rsidRPr="004169F5" w14:paraId="0D5888C7" w14:textId="77777777" w:rsidTr="000235F8">
        <w:trPr>
          <w:trHeight w:val="404"/>
        </w:trPr>
        <w:tc>
          <w:tcPr>
            <w:tcW w:w="10883" w:type="dxa"/>
            <w:shd w:val="clear" w:color="auto" w:fill="auto"/>
            <w:noWrap/>
            <w:vAlign w:val="center"/>
          </w:tcPr>
          <w:p w14:paraId="384AD1EE" w14:textId="77777777" w:rsidR="000B57CF" w:rsidRPr="004169F5" w:rsidRDefault="000B57CF" w:rsidP="000235F8">
            <w:pPr>
              <w:rPr>
                <w:rFonts w:asciiTheme="minorHAnsi" w:hAnsiTheme="minorHAnsi" w:cstheme="minorHAnsi"/>
                <w:sz w:val="22"/>
                <w:szCs w:val="22"/>
              </w:rPr>
            </w:pPr>
            <w:r w:rsidRPr="004169F5">
              <w:rPr>
                <w:rFonts w:asciiTheme="minorHAnsi" w:hAnsiTheme="minorHAnsi" w:cstheme="minorHAnsi"/>
                <w:sz w:val="22"/>
                <w:szCs w:val="22"/>
              </w:rPr>
              <w:t>The solution must Prevent leaky or malicious apps from sending data to suspicious external sources.</w:t>
            </w:r>
          </w:p>
          <w:p w14:paraId="2964713A" w14:textId="77777777" w:rsidR="000B57CF" w:rsidRPr="004169F5" w:rsidRDefault="000B57CF" w:rsidP="000235F8">
            <w:pPr>
              <w:jc w:val="both"/>
              <w:rPr>
                <w:rFonts w:asciiTheme="minorHAnsi" w:hAnsiTheme="minorHAnsi" w:cstheme="minorHAnsi"/>
                <w:sz w:val="22"/>
                <w:szCs w:val="22"/>
              </w:rPr>
            </w:pPr>
          </w:p>
        </w:tc>
      </w:tr>
      <w:tr w:rsidR="000B57CF" w:rsidRPr="004169F5" w14:paraId="18D249E7" w14:textId="77777777" w:rsidTr="000235F8">
        <w:trPr>
          <w:trHeight w:val="458"/>
        </w:trPr>
        <w:tc>
          <w:tcPr>
            <w:tcW w:w="10883" w:type="dxa"/>
            <w:shd w:val="clear" w:color="auto" w:fill="auto"/>
            <w:noWrap/>
            <w:vAlign w:val="center"/>
          </w:tcPr>
          <w:p w14:paraId="1883F171"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Enable seamless adoption by using your existing UEM and mobile device management (MDM) investments to deploy, configure and protect.</w:t>
            </w:r>
          </w:p>
        </w:tc>
      </w:tr>
      <w:tr w:rsidR="000B57CF" w:rsidRPr="004169F5" w14:paraId="397D2262" w14:textId="77777777" w:rsidTr="000235F8">
        <w:trPr>
          <w:trHeight w:val="926"/>
        </w:trPr>
        <w:tc>
          <w:tcPr>
            <w:tcW w:w="10883" w:type="dxa"/>
            <w:shd w:val="clear" w:color="auto" w:fill="auto"/>
            <w:noWrap/>
            <w:vAlign w:val="center"/>
          </w:tcPr>
          <w:p w14:paraId="5669F231"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Manage your entire enterprise estate — from mobile devices to traditional endpoints and cloud workloads — with a single, integrated platform that provides a holistic view of endpoint activity.</w:t>
            </w:r>
          </w:p>
        </w:tc>
      </w:tr>
      <w:tr w:rsidR="000B57CF" w:rsidRPr="004169F5" w14:paraId="6E948ECC" w14:textId="77777777" w:rsidTr="000235F8">
        <w:trPr>
          <w:trHeight w:val="926"/>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CE89D"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solution must gain insight into real-time events to prevent the risk of silent failure, and turbocharge incident triage with the latest threat intelligence and easy-to-grasp process trees that map adversary behaviors to the familiar </w:t>
            </w:r>
            <w:hyperlink r:id="rId10">
              <w:r w:rsidRPr="004169F5">
                <w:rPr>
                  <w:rFonts w:asciiTheme="minorHAnsi" w:hAnsiTheme="minorHAnsi" w:cstheme="minorHAnsi"/>
                  <w:sz w:val="22"/>
                  <w:szCs w:val="22"/>
                </w:rPr>
                <w:t>MITRE ATT&amp;CK Mobile Matrix</w:t>
              </w:r>
            </w:hyperlink>
          </w:p>
        </w:tc>
      </w:tr>
      <w:tr w:rsidR="000B57CF" w:rsidRPr="004169F5" w14:paraId="60A292F2" w14:textId="77777777" w:rsidTr="000235F8">
        <w:trPr>
          <w:trHeight w:val="926"/>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7180D" w14:textId="77777777" w:rsidR="000B57CF" w:rsidRPr="004169F5" w:rsidRDefault="000B57CF" w:rsidP="000235F8">
            <w:pPr>
              <w:rPr>
                <w:rFonts w:asciiTheme="minorHAnsi" w:hAnsiTheme="minorHAnsi" w:cstheme="minorHAnsi"/>
                <w:sz w:val="22"/>
                <w:szCs w:val="22"/>
              </w:rPr>
            </w:pPr>
            <w:r w:rsidRPr="004169F5">
              <w:rPr>
                <w:rFonts w:asciiTheme="minorHAnsi" w:hAnsiTheme="minorHAnsi" w:cstheme="minorHAnsi"/>
                <w:sz w:val="22"/>
                <w:szCs w:val="22"/>
              </w:rPr>
              <w:t xml:space="preserve">The solution must Perform advanced threat hunting with a cloud-native platform that enables rapid data querying and returns results in seconds while collecting mobile data for up to 7 days for rich historical analysis. </w:t>
            </w:r>
          </w:p>
        </w:tc>
      </w:tr>
    </w:tbl>
    <w:p w14:paraId="57EC4127" w14:textId="77777777" w:rsidR="000B57CF" w:rsidRPr="004169F5" w:rsidRDefault="000B57CF" w:rsidP="000B57CF">
      <w:pPr>
        <w:pStyle w:val="Services-Level3"/>
        <w:numPr>
          <w:ilvl w:val="0"/>
          <w:numId w:val="0"/>
        </w:numPr>
        <w:tabs>
          <w:tab w:val="left" w:pos="2138"/>
        </w:tabs>
        <w:jc w:val="both"/>
        <w:rPr>
          <w:bCs/>
          <w:color w:val="000000" w:themeColor="text1"/>
          <w:sz w:val="22"/>
          <w:szCs w:val="22"/>
          <w:lang w:val="en-US"/>
        </w:rPr>
      </w:pPr>
    </w:p>
    <w:tbl>
      <w:tblPr>
        <w:tblW w:w="10883" w:type="dxa"/>
        <w:tblInd w:w="-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3"/>
      </w:tblGrid>
      <w:tr w:rsidR="000B57CF" w:rsidRPr="004169F5" w14:paraId="2CD67958" w14:textId="77777777" w:rsidTr="000235F8">
        <w:trPr>
          <w:trHeight w:val="728"/>
        </w:trPr>
        <w:tc>
          <w:tcPr>
            <w:tcW w:w="10883" w:type="dxa"/>
            <w:shd w:val="clear" w:color="auto" w:fill="auto"/>
            <w:noWrap/>
            <w:vAlign w:val="center"/>
          </w:tcPr>
          <w:p w14:paraId="1D8C5CF2" w14:textId="77777777" w:rsidR="000B57CF" w:rsidRPr="004169F5" w:rsidRDefault="000B57CF" w:rsidP="000235F8">
            <w:pPr>
              <w:jc w:val="center"/>
              <w:rPr>
                <w:rFonts w:asciiTheme="minorHAnsi" w:hAnsiTheme="minorHAnsi"/>
                <w:b/>
                <w:bCs/>
                <w:sz w:val="22"/>
                <w:szCs w:val="22"/>
              </w:rPr>
            </w:pPr>
            <w:r w:rsidRPr="004169F5">
              <w:rPr>
                <w:rFonts w:asciiTheme="minorHAnsi" w:hAnsiTheme="minorHAnsi"/>
                <w:b/>
                <w:bCs/>
                <w:sz w:val="22"/>
                <w:szCs w:val="22"/>
              </w:rPr>
              <w:lastRenderedPageBreak/>
              <w:t>Exposure Management</w:t>
            </w:r>
          </w:p>
        </w:tc>
      </w:tr>
      <w:tr w:rsidR="000B57CF" w:rsidRPr="004169F5" w14:paraId="23BC9C5B" w14:textId="77777777" w:rsidTr="000235F8">
        <w:trPr>
          <w:trHeight w:val="269"/>
        </w:trPr>
        <w:tc>
          <w:tcPr>
            <w:tcW w:w="10883" w:type="dxa"/>
            <w:shd w:val="clear" w:color="auto" w:fill="auto"/>
            <w:noWrap/>
            <w:vAlign w:val="center"/>
          </w:tcPr>
          <w:p w14:paraId="3AF9FF1C"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be able to correlate the information between asset criticality, internet exposure and vulnerabilities</w:t>
            </w:r>
          </w:p>
        </w:tc>
      </w:tr>
      <w:tr w:rsidR="000B57CF" w:rsidRPr="004169F5" w14:paraId="11EF2E75" w14:textId="77777777" w:rsidTr="000235F8">
        <w:trPr>
          <w:trHeight w:val="350"/>
        </w:trPr>
        <w:tc>
          <w:tcPr>
            <w:tcW w:w="10883" w:type="dxa"/>
            <w:shd w:val="clear" w:color="auto" w:fill="auto"/>
            <w:noWrap/>
            <w:vAlign w:val="center"/>
          </w:tcPr>
          <w:p w14:paraId="15C717F7"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be able to integrate with third party Vulnerability Scanners</w:t>
            </w:r>
          </w:p>
        </w:tc>
      </w:tr>
      <w:tr w:rsidR="000B57CF" w:rsidRPr="004169F5" w14:paraId="6F37EA44" w14:textId="77777777" w:rsidTr="000235F8">
        <w:trPr>
          <w:trHeight w:val="260"/>
        </w:trPr>
        <w:tc>
          <w:tcPr>
            <w:tcW w:w="10883" w:type="dxa"/>
            <w:shd w:val="clear" w:color="auto" w:fill="auto"/>
            <w:noWrap/>
            <w:vAlign w:val="center"/>
          </w:tcPr>
          <w:p w14:paraId="1FD5FC2C"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be able to provide CIS Assessment without endpoint scanning</w:t>
            </w:r>
          </w:p>
        </w:tc>
      </w:tr>
      <w:tr w:rsidR="000B57CF" w:rsidRPr="004169F5" w14:paraId="10D2A928" w14:textId="77777777" w:rsidTr="000235F8">
        <w:trPr>
          <w:trHeight w:val="341"/>
        </w:trPr>
        <w:tc>
          <w:tcPr>
            <w:tcW w:w="10883" w:type="dxa"/>
            <w:shd w:val="clear" w:color="auto" w:fill="auto"/>
            <w:noWrap/>
            <w:vAlign w:val="center"/>
          </w:tcPr>
          <w:p w14:paraId="4F231B14"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be able to Provide contextual risk scoring to help prioritize remediation.</w:t>
            </w:r>
          </w:p>
        </w:tc>
      </w:tr>
      <w:tr w:rsidR="000B57CF" w:rsidRPr="004169F5" w14:paraId="0C55438C" w14:textId="77777777" w:rsidTr="000235F8">
        <w:trPr>
          <w:trHeight w:val="350"/>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23AB"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provide continues asset discovery and inventory.</w:t>
            </w:r>
          </w:p>
        </w:tc>
      </w:tr>
      <w:tr w:rsidR="000B57CF" w:rsidRPr="004169F5" w14:paraId="13A110C8" w14:textId="77777777" w:rsidTr="000235F8">
        <w:trPr>
          <w:trHeight w:val="350"/>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CFF0B"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provide active rogue asset scanning</w:t>
            </w:r>
          </w:p>
        </w:tc>
      </w:tr>
      <w:tr w:rsidR="000B57CF" w:rsidRPr="004169F5" w14:paraId="11713540" w14:textId="77777777" w:rsidTr="000235F8">
        <w:trPr>
          <w:trHeight w:val="530"/>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D7C95"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See and identify all assets from the inside-out and outside-in.</w:t>
            </w:r>
          </w:p>
        </w:tc>
      </w:tr>
      <w:tr w:rsidR="000B57CF" w:rsidRPr="004169F5" w14:paraId="143B197C" w14:textId="77777777" w:rsidTr="000235F8">
        <w:trPr>
          <w:trHeight w:val="80"/>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498EA"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Get visibility into potential attack paths to proactively close vulnerabilities.</w:t>
            </w:r>
          </w:p>
        </w:tc>
      </w:tr>
      <w:tr w:rsidR="000B57CF" w:rsidRPr="004169F5" w14:paraId="458269EB" w14:textId="77777777" w:rsidTr="000235F8">
        <w:trPr>
          <w:trHeight w:val="80"/>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D60AC" w14:textId="77777777" w:rsidR="000B57CF" w:rsidRPr="004169F5" w:rsidRDefault="000B57CF" w:rsidP="000235F8">
            <w:pPr>
              <w:rPr>
                <w:rFonts w:asciiTheme="minorHAnsi" w:hAnsiTheme="minorHAnsi" w:cstheme="minorHAnsi"/>
                <w:sz w:val="22"/>
                <w:szCs w:val="22"/>
              </w:rPr>
            </w:pPr>
            <w:r w:rsidRPr="004169F5">
              <w:rPr>
                <w:rFonts w:asciiTheme="minorHAnsi" w:hAnsiTheme="minorHAnsi" w:cstheme="minorHAnsi"/>
                <w:sz w:val="22"/>
                <w:szCs w:val="22"/>
              </w:rPr>
              <w:t>Ability to apply emergency Windows OS security patch</w:t>
            </w:r>
          </w:p>
        </w:tc>
      </w:tr>
      <w:tr w:rsidR="000B57CF" w:rsidRPr="004169F5" w14:paraId="52B7E7BC" w14:textId="77777777" w:rsidTr="000235F8">
        <w:trPr>
          <w:trHeight w:val="431"/>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6487E"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have Guided and automated response with RTR, SOAR and 3rd party integrations.</w:t>
            </w:r>
          </w:p>
        </w:tc>
      </w:tr>
      <w:tr w:rsidR="000B57CF" w:rsidRPr="004169F5" w14:paraId="1F84EC22" w14:textId="77777777" w:rsidTr="000235F8">
        <w:trPr>
          <w:trHeight w:val="728"/>
        </w:trPr>
        <w:tc>
          <w:tcPr>
            <w:tcW w:w="10883" w:type="dxa"/>
            <w:shd w:val="clear" w:color="auto" w:fill="auto"/>
            <w:noWrap/>
            <w:vAlign w:val="center"/>
          </w:tcPr>
          <w:p w14:paraId="7441E897" w14:textId="77777777" w:rsidR="000B57CF" w:rsidRPr="004169F5" w:rsidRDefault="000B57CF" w:rsidP="000235F8">
            <w:pPr>
              <w:jc w:val="center"/>
              <w:rPr>
                <w:rFonts w:asciiTheme="minorHAnsi" w:hAnsiTheme="minorHAnsi"/>
                <w:b/>
                <w:bCs/>
                <w:sz w:val="22"/>
                <w:szCs w:val="22"/>
              </w:rPr>
            </w:pPr>
            <w:r w:rsidRPr="004169F5">
              <w:rPr>
                <w:rFonts w:asciiTheme="minorHAnsi" w:hAnsiTheme="minorHAnsi"/>
                <w:b/>
                <w:bCs/>
                <w:sz w:val="22"/>
                <w:szCs w:val="22"/>
              </w:rPr>
              <w:t>File Integrity Management</w:t>
            </w:r>
          </w:p>
        </w:tc>
      </w:tr>
      <w:tr w:rsidR="000B57CF" w:rsidRPr="004169F5" w14:paraId="0BB7922C" w14:textId="77777777" w:rsidTr="000235F8">
        <w:trPr>
          <w:trHeight w:val="431"/>
        </w:trPr>
        <w:tc>
          <w:tcPr>
            <w:tcW w:w="10883" w:type="dxa"/>
            <w:shd w:val="clear" w:color="auto" w:fill="auto"/>
            <w:noWrap/>
            <w:vAlign w:val="center"/>
          </w:tcPr>
          <w:p w14:paraId="496390D2"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be able to Cross-Reference with Related Incident Data</w:t>
            </w:r>
          </w:p>
        </w:tc>
      </w:tr>
      <w:tr w:rsidR="000B57CF" w:rsidRPr="004169F5" w14:paraId="76BE1B12" w14:textId="77777777" w:rsidTr="000235F8">
        <w:trPr>
          <w:trHeight w:val="431"/>
        </w:trPr>
        <w:tc>
          <w:tcPr>
            <w:tcW w:w="10883" w:type="dxa"/>
            <w:shd w:val="clear" w:color="auto" w:fill="auto"/>
            <w:noWrap/>
            <w:vAlign w:val="center"/>
          </w:tcPr>
          <w:p w14:paraId="1C6F5936"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 xml:space="preserve">The solution must </w:t>
            </w:r>
            <w:r w:rsidRPr="004169F5">
              <w:rPr>
                <w:rFonts w:asciiTheme="minorHAnsi" w:hAnsiTheme="minorHAnsi" w:cstheme="minorHAnsi"/>
                <w:sz w:val="22"/>
                <w:szCs w:val="22"/>
                <w:lang w:val="en-CA"/>
              </w:rPr>
              <w:t xml:space="preserve">Oversee all file and system changes with summary and detailed views of dashboards – enable and display groups as needed. </w:t>
            </w:r>
          </w:p>
        </w:tc>
      </w:tr>
      <w:tr w:rsidR="000B57CF" w:rsidRPr="004169F5" w14:paraId="7C47C11D" w14:textId="77777777" w:rsidTr="000235F8">
        <w:trPr>
          <w:trHeight w:val="431"/>
        </w:trPr>
        <w:tc>
          <w:tcPr>
            <w:tcW w:w="10883" w:type="dxa"/>
            <w:shd w:val="clear" w:color="auto" w:fill="auto"/>
            <w:noWrap/>
            <w:vAlign w:val="center"/>
          </w:tcPr>
          <w:p w14:paraId="7621730D"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 xml:space="preserve">The solution must </w:t>
            </w:r>
            <w:r w:rsidRPr="004169F5">
              <w:rPr>
                <w:rFonts w:asciiTheme="minorHAnsi" w:hAnsiTheme="minorHAnsi" w:cstheme="minorHAnsi"/>
                <w:sz w:val="22"/>
                <w:szCs w:val="22"/>
                <w:lang w:val="en-CA"/>
              </w:rPr>
              <w:t>See all critical file changes with relevant, intuitive dashboards.</w:t>
            </w:r>
          </w:p>
        </w:tc>
      </w:tr>
      <w:tr w:rsidR="000B57CF" w:rsidRPr="004169F5" w14:paraId="11A71669" w14:textId="77777777" w:rsidTr="000235F8">
        <w:trPr>
          <w:trHeight w:val="728"/>
        </w:trPr>
        <w:tc>
          <w:tcPr>
            <w:tcW w:w="10883" w:type="dxa"/>
            <w:shd w:val="clear" w:color="auto" w:fill="auto"/>
            <w:noWrap/>
            <w:vAlign w:val="center"/>
          </w:tcPr>
          <w:p w14:paraId="67C87E6D"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Fulfill compliance requirements (PCI DSS, SOX, etc.)</w:t>
            </w:r>
          </w:p>
        </w:tc>
      </w:tr>
      <w:tr w:rsidR="000B57CF" w:rsidRPr="004169F5" w14:paraId="4CB4F1B4" w14:textId="77777777" w:rsidTr="000235F8">
        <w:trPr>
          <w:trHeight w:val="440"/>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36275"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Gain comprehensive visibility for harmful changes in real-time</w:t>
            </w:r>
          </w:p>
        </w:tc>
      </w:tr>
      <w:tr w:rsidR="000B57CF" w:rsidRPr="004169F5" w14:paraId="00D4E97F" w14:textId="77777777" w:rsidTr="000235F8">
        <w:trPr>
          <w:trHeight w:val="440"/>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96001"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Reduce alert fatigue with custom policies and rules.</w:t>
            </w:r>
          </w:p>
        </w:tc>
      </w:tr>
      <w:tr w:rsidR="000B57CF" w:rsidRPr="004169F5" w14:paraId="5B664425" w14:textId="77777777" w:rsidTr="000235F8">
        <w:trPr>
          <w:trHeight w:val="440"/>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E6C88"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 xml:space="preserve">The Solution must Quickly identify and set which files are relevant for monitoring based on activities surrounding a host. </w:t>
            </w:r>
          </w:p>
        </w:tc>
      </w:tr>
      <w:tr w:rsidR="000B57CF" w:rsidRPr="004169F5" w14:paraId="2C75BC17" w14:textId="77777777" w:rsidTr="000235F8">
        <w:trPr>
          <w:trHeight w:val="431"/>
        </w:trPr>
        <w:tc>
          <w:tcPr>
            <w:tcW w:w="10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12141" w14:textId="77777777" w:rsidR="000B57CF" w:rsidRPr="004169F5" w:rsidRDefault="000B57CF" w:rsidP="000235F8">
            <w:pPr>
              <w:rPr>
                <w:rFonts w:asciiTheme="minorHAnsi" w:hAnsiTheme="minorHAnsi"/>
                <w:sz w:val="22"/>
                <w:szCs w:val="22"/>
              </w:rPr>
            </w:pPr>
            <w:r w:rsidRPr="004169F5">
              <w:rPr>
                <w:rFonts w:asciiTheme="minorHAnsi" w:hAnsiTheme="minorHAnsi" w:cstheme="minorHAnsi"/>
                <w:sz w:val="22"/>
                <w:szCs w:val="22"/>
              </w:rPr>
              <w:t>The Solution must offer a streamlined workflow to collect and analyze large quantities of data in one place.</w:t>
            </w:r>
          </w:p>
        </w:tc>
      </w:tr>
      <w:tr w:rsidR="000B57CF" w:rsidRPr="004169F5" w14:paraId="72CC901C" w14:textId="77777777" w:rsidTr="000235F8">
        <w:trPr>
          <w:trHeight w:val="440"/>
        </w:trPr>
        <w:tc>
          <w:tcPr>
            <w:tcW w:w="10883" w:type="dxa"/>
            <w:shd w:val="clear" w:color="auto" w:fill="auto"/>
            <w:noWrap/>
            <w:vAlign w:val="center"/>
          </w:tcPr>
          <w:p w14:paraId="3BBD9366" w14:textId="77777777" w:rsidR="000B57CF" w:rsidRPr="004169F5" w:rsidRDefault="000B57CF" w:rsidP="000235F8">
            <w:pPr>
              <w:jc w:val="center"/>
              <w:rPr>
                <w:rFonts w:asciiTheme="minorHAnsi" w:hAnsiTheme="minorHAnsi" w:cstheme="minorHAnsi"/>
                <w:sz w:val="22"/>
                <w:szCs w:val="22"/>
              </w:rPr>
            </w:pPr>
            <w:r w:rsidRPr="004169F5">
              <w:rPr>
                <w:rFonts w:asciiTheme="minorHAnsi" w:hAnsiTheme="minorHAnsi" w:cstheme="minorHAnsi"/>
                <w:b/>
                <w:bCs/>
                <w:sz w:val="22"/>
                <w:szCs w:val="22"/>
              </w:rPr>
              <w:t>Positioning of the Solution</w:t>
            </w:r>
          </w:p>
        </w:tc>
      </w:tr>
      <w:tr w:rsidR="000B57CF" w:rsidRPr="004169F5" w14:paraId="15EA37AD" w14:textId="77777777" w:rsidTr="000235F8">
        <w:trPr>
          <w:trHeight w:val="350"/>
        </w:trPr>
        <w:tc>
          <w:tcPr>
            <w:tcW w:w="10883" w:type="dxa"/>
            <w:shd w:val="clear" w:color="auto" w:fill="auto"/>
            <w:noWrap/>
            <w:vAlign w:val="center"/>
          </w:tcPr>
          <w:p w14:paraId="2CC17D21"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be a leader in latest Forrester Endpoint Detection and Response Report.</w:t>
            </w:r>
          </w:p>
        </w:tc>
      </w:tr>
      <w:tr w:rsidR="000B57CF" w:rsidRPr="004169F5" w14:paraId="6058432C" w14:textId="77777777" w:rsidTr="000235F8">
        <w:trPr>
          <w:trHeight w:val="260"/>
        </w:trPr>
        <w:tc>
          <w:tcPr>
            <w:tcW w:w="10883" w:type="dxa"/>
            <w:shd w:val="clear" w:color="auto" w:fill="auto"/>
            <w:noWrap/>
            <w:vAlign w:val="center"/>
          </w:tcPr>
          <w:p w14:paraId="5566B5C6"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solution must be a leader in latest Forrester External Threat Intelligence Service Report.</w:t>
            </w:r>
          </w:p>
        </w:tc>
      </w:tr>
      <w:tr w:rsidR="000B57CF" w:rsidRPr="004169F5" w14:paraId="202AB3CD" w14:textId="77777777" w:rsidTr="000235F8">
        <w:trPr>
          <w:trHeight w:val="314"/>
        </w:trPr>
        <w:tc>
          <w:tcPr>
            <w:tcW w:w="10883" w:type="dxa"/>
            <w:shd w:val="clear" w:color="auto" w:fill="auto"/>
            <w:noWrap/>
            <w:vAlign w:val="center"/>
          </w:tcPr>
          <w:p w14:paraId="3515CB72"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 xml:space="preserve">The vendor must be a leader in Gartner Magic Quadrant for Endpoint Protection </w:t>
            </w:r>
          </w:p>
        </w:tc>
      </w:tr>
      <w:tr w:rsidR="000B57CF" w:rsidRPr="004169F5" w14:paraId="41D6F6D1" w14:textId="77777777" w:rsidTr="000235F8">
        <w:trPr>
          <w:trHeight w:val="431"/>
        </w:trPr>
        <w:tc>
          <w:tcPr>
            <w:tcW w:w="10883" w:type="dxa"/>
            <w:shd w:val="clear" w:color="auto" w:fill="auto"/>
            <w:noWrap/>
            <w:vAlign w:val="center"/>
          </w:tcPr>
          <w:p w14:paraId="21407BB8"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vendor’s offering must be a mature product, the vendor must be established at least 10 years ago.</w:t>
            </w:r>
          </w:p>
        </w:tc>
      </w:tr>
      <w:tr w:rsidR="000B57CF" w:rsidRPr="004169F5" w14:paraId="7A66FA11" w14:textId="77777777" w:rsidTr="000235F8">
        <w:trPr>
          <w:trHeight w:val="350"/>
        </w:trPr>
        <w:tc>
          <w:tcPr>
            <w:tcW w:w="10883" w:type="dxa"/>
            <w:shd w:val="clear" w:color="auto" w:fill="auto"/>
            <w:noWrap/>
            <w:vAlign w:val="center"/>
          </w:tcPr>
          <w:p w14:paraId="6EC799DF"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theme="minorHAnsi"/>
                <w:sz w:val="22"/>
                <w:szCs w:val="22"/>
              </w:rPr>
              <w:t>The vendor must not include any third-party product with his proposed solution.</w:t>
            </w:r>
          </w:p>
        </w:tc>
      </w:tr>
      <w:tr w:rsidR="000B57CF" w:rsidRPr="004169F5" w14:paraId="1BEF5A70" w14:textId="77777777" w:rsidTr="000235F8">
        <w:trPr>
          <w:trHeight w:val="350"/>
        </w:trPr>
        <w:tc>
          <w:tcPr>
            <w:tcW w:w="10883" w:type="dxa"/>
            <w:shd w:val="clear" w:color="auto" w:fill="auto"/>
            <w:noWrap/>
            <w:vAlign w:val="center"/>
          </w:tcPr>
          <w:p w14:paraId="5B945A55" w14:textId="77777777" w:rsidR="000B57CF" w:rsidRPr="004169F5" w:rsidRDefault="000B57CF" w:rsidP="000235F8">
            <w:pPr>
              <w:jc w:val="both"/>
              <w:rPr>
                <w:rFonts w:asciiTheme="minorHAnsi" w:hAnsiTheme="minorHAnsi" w:cstheme="minorHAnsi"/>
                <w:sz w:val="22"/>
                <w:szCs w:val="22"/>
              </w:rPr>
            </w:pPr>
          </w:p>
          <w:p w14:paraId="655A47F7" w14:textId="77777777" w:rsidR="000B57CF" w:rsidRPr="004169F5" w:rsidRDefault="000B57CF" w:rsidP="000235F8">
            <w:pPr>
              <w:jc w:val="center"/>
              <w:rPr>
                <w:rFonts w:asciiTheme="minorHAnsi" w:hAnsiTheme="minorHAnsi" w:cs="Arial"/>
                <w:b/>
                <w:sz w:val="22"/>
                <w:szCs w:val="22"/>
              </w:rPr>
            </w:pPr>
            <w:r w:rsidRPr="004169F5">
              <w:rPr>
                <w:rFonts w:asciiTheme="minorHAnsi" w:hAnsiTheme="minorHAnsi" w:cs="Arial"/>
                <w:b/>
                <w:sz w:val="22"/>
                <w:szCs w:val="22"/>
              </w:rPr>
              <w:t>Implementation Task</w:t>
            </w:r>
          </w:p>
          <w:p w14:paraId="5387CDCF" w14:textId="77777777" w:rsidR="000B57CF" w:rsidRPr="004169F5" w:rsidRDefault="000B57CF" w:rsidP="000235F8">
            <w:pPr>
              <w:jc w:val="both"/>
              <w:rPr>
                <w:rFonts w:asciiTheme="minorHAnsi" w:hAnsiTheme="minorHAnsi" w:cstheme="minorHAnsi"/>
                <w:sz w:val="22"/>
                <w:szCs w:val="22"/>
              </w:rPr>
            </w:pPr>
          </w:p>
        </w:tc>
      </w:tr>
      <w:tr w:rsidR="000B57CF" w:rsidRPr="004169F5" w14:paraId="23034B3B" w14:textId="77777777" w:rsidTr="000235F8">
        <w:trPr>
          <w:trHeight w:val="350"/>
        </w:trPr>
        <w:tc>
          <w:tcPr>
            <w:tcW w:w="10883" w:type="dxa"/>
            <w:shd w:val="clear" w:color="auto" w:fill="auto"/>
            <w:noWrap/>
            <w:vAlign w:val="center"/>
          </w:tcPr>
          <w:p w14:paraId="486D452B" w14:textId="77777777" w:rsidR="000B57CF" w:rsidRPr="004169F5" w:rsidRDefault="000B57CF" w:rsidP="000235F8">
            <w:pPr>
              <w:jc w:val="both"/>
              <w:rPr>
                <w:rFonts w:asciiTheme="minorHAnsi" w:hAnsiTheme="minorHAnsi" w:cstheme="minorHAnsi"/>
                <w:sz w:val="22"/>
                <w:szCs w:val="22"/>
              </w:rPr>
            </w:pPr>
            <w:r w:rsidRPr="004169F5">
              <w:rPr>
                <w:rFonts w:asciiTheme="minorHAnsi" w:eastAsia="Times New Roman" w:hAnsiTheme="minorHAnsi" w:cs="Arial"/>
                <w:color w:val="000000"/>
                <w:sz w:val="22"/>
                <w:szCs w:val="22"/>
              </w:rPr>
              <w:t>Deploy(assist) endpoints to Windows, Mac, and Linux assets</w:t>
            </w:r>
          </w:p>
        </w:tc>
      </w:tr>
      <w:tr w:rsidR="000B57CF" w:rsidRPr="004169F5" w14:paraId="058220AC" w14:textId="77777777" w:rsidTr="000235F8">
        <w:trPr>
          <w:trHeight w:val="656"/>
        </w:trPr>
        <w:tc>
          <w:tcPr>
            <w:tcW w:w="10883" w:type="dxa"/>
            <w:shd w:val="clear" w:color="auto" w:fill="auto"/>
            <w:noWrap/>
            <w:vAlign w:val="center"/>
          </w:tcPr>
          <w:p w14:paraId="5069CA49" w14:textId="77777777" w:rsidR="000B57CF" w:rsidRPr="004169F5" w:rsidRDefault="000B57CF" w:rsidP="000235F8">
            <w:pPr>
              <w:rPr>
                <w:rFonts w:asciiTheme="minorHAnsi" w:hAnsiTheme="minorHAnsi" w:cstheme="minorHAnsi"/>
                <w:sz w:val="22"/>
                <w:szCs w:val="22"/>
              </w:rPr>
            </w:pPr>
            <w:r w:rsidRPr="004169F5">
              <w:rPr>
                <w:rFonts w:asciiTheme="minorHAnsi" w:eastAsia="Times New Roman" w:hAnsiTheme="minorHAnsi" w:cs="Arial"/>
                <w:color w:val="000000"/>
                <w:sz w:val="22"/>
                <w:szCs w:val="22"/>
              </w:rPr>
              <w:lastRenderedPageBreak/>
              <w:t>Deploy(assist) endpoints without disruption to production environment, no reboots or user intervention</w:t>
            </w:r>
          </w:p>
        </w:tc>
      </w:tr>
      <w:tr w:rsidR="000B57CF" w:rsidRPr="004169F5" w14:paraId="7584C629" w14:textId="77777777" w:rsidTr="000235F8">
        <w:trPr>
          <w:trHeight w:val="350"/>
        </w:trPr>
        <w:tc>
          <w:tcPr>
            <w:tcW w:w="10883" w:type="dxa"/>
            <w:shd w:val="clear" w:color="auto" w:fill="auto"/>
            <w:noWrap/>
            <w:vAlign w:val="center"/>
          </w:tcPr>
          <w:p w14:paraId="6C2C2B44" w14:textId="77777777" w:rsidR="000B57CF" w:rsidRPr="004169F5" w:rsidRDefault="000B57CF" w:rsidP="000235F8">
            <w:pPr>
              <w:jc w:val="both"/>
              <w:rPr>
                <w:rFonts w:asciiTheme="minorHAnsi" w:hAnsiTheme="minorHAnsi" w:cstheme="minorHAnsi"/>
                <w:sz w:val="22"/>
                <w:szCs w:val="22"/>
              </w:rPr>
            </w:pPr>
            <w:r w:rsidRPr="004169F5">
              <w:rPr>
                <w:rFonts w:asciiTheme="minorHAnsi" w:eastAsia="Times New Roman" w:hAnsiTheme="minorHAnsi" w:cs="Arial"/>
                <w:color w:val="000000"/>
                <w:sz w:val="22"/>
                <w:szCs w:val="22"/>
              </w:rPr>
              <w:t>Configure Host groups, static or dynamic</w:t>
            </w:r>
          </w:p>
        </w:tc>
      </w:tr>
      <w:tr w:rsidR="000B57CF" w:rsidRPr="004169F5" w14:paraId="4EF32C30" w14:textId="77777777" w:rsidTr="000235F8">
        <w:trPr>
          <w:trHeight w:val="350"/>
        </w:trPr>
        <w:tc>
          <w:tcPr>
            <w:tcW w:w="10883" w:type="dxa"/>
            <w:shd w:val="clear" w:color="auto" w:fill="auto"/>
            <w:noWrap/>
            <w:vAlign w:val="center"/>
          </w:tcPr>
          <w:p w14:paraId="01B319D8"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Arial"/>
                <w:sz w:val="22"/>
                <w:szCs w:val="22"/>
              </w:rPr>
              <w:t>Create and enable prevention policy, assign to groups, tune policy</w:t>
            </w:r>
          </w:p>
        </w:tc>
      </w:tr>
      <w:tr w:rsidR="000B57CF" w:rsidRPr="004169F5" w14:paraId="464DD63B" w14:textId="77777777" w:rsidTr="000235F8">
        <w:trPr>
          <w:trHeight w:val="350"/>
        </w:trPr>
        <w:tc>
          <w:tcPr>
            <w:tcW w:w="10883" w:type="dxa"/>
            <w:shd w:val="clear" w:color="auto" w:fill="auto"/>
            <w:noWrap/>
            <w:vAlign w:val="center"/>
          </w:tcPr>
          <w:p w14:paraId="61F31A89" w14:textId="77777777" w:rsidR="000B57CF" w:rsidRPr="004169F5" w:rsidRDefault="000B57CF" w:rsidP="000235F8">
            <w:pPr>
              <w:jc w:val="both"/>
              <w:rPr>
                <w:rFonts w:asciiTheme="minorHAnsi" w:hAnsiTheme="minorHAnsi" w:cstheme="minorHAnsi"/>
                <w:sz w:val="22"/>
                <w:szCs w:val="22"/>
              </w:rPr>
            </w:pPr>
            <w:r w:rsidRPr="004169F5">
              <w:rPr>
                <w:rFonts w:asciiTheme="minorHAnsi" w:hAnsiTheme="minorHAnsi" w:cs="Arial"/>
                <w:sz w:val="22"/>
                <w:szCs w:val="22"/>
              </w:rPr>
              <w:t>Create a detect only policy to run side by side and compare against an incumbent AV solution or for first stage of deployment on critical servers</w:t>
            </w:r>
          </w:p>
        </w:tc>
      </w:tr>
      <w:tr w:rsidR="000B57CF" w:rsidRPr="004169F5" w14:paraId="7F2E5887" w14:textId="77777777" w:rsidTr="000235F8">
        <w:trPr>
          <w:trHeight w:val="350"/>
        </w:trPr>
        <w:tc>
          <w:tcPr>
            <w:tcW w:w="10883" w:type="dxa"/>
            <w:shd w:val="clear" w:color="auto" w:fill="auto"/>
            <w:noWrap/>
            <w:vAlign w:val="center"/>
          </w:tcPr>
          <w:p w14:paraId="332074D2" w14:textId="77777777" w:rsidR="000B57CF" w:rsidRPr="004169F5" w:rsidRDefault="000B57CF" w:rsidP="000235F8">
            <w:pPr>
              <w:rPr>
                <w:rFonts w:asciiTheme="minorHAnsi" w:hAnsiTheme="minorHAnsi" w:cs="Arial"/>
                <w:sz w:val="22"/>
                <w:szCs w:val="22"/>
              </w:rPr>
            </w:pPr>
            <w:r w:rsidRPr="004169F5">
              <w:rPr>
                <w:rFonts w:asciiTheme="minorHAnsi" w:hAnsiTheme="minorHAnsi" w:cs="Arial"/>
                <w:sz w:val="22"/>
                <w:szCs w:val="22"/>
              </w:rPr>
              <w:t>Tune Machine Learning aggressiveness</w:t>
            </w:r>
          </w:p>
        </w:tc>
      </w:tr>
      <w:tr w:rsidR="000B57CF" w:rsidRPr="004169F5" w14:paraId="1F7F470D" w14:textId="77777777" w:rsidTr="000235F8">
        <w:trPr>
          <w:trHeight w:val="350"/>
        </w:trPr>
        <w:tc>
          <w:tcPr>
            <w:tcW w:w="10883" w:type="dxa"/>
            <w:shd w:val="clear" w:color="auto" w:fill="auto"/>
            <w:noWrap/>
            <w:vAlign w:val="center"/>
          </w:tcPr>
          <w:p w14:paraId="300734BF" w14:textId="77777777" w:rsidR="000B57CF" w:rsidRPr="004169F5" w:rsidRDefault="000B57CF" w:rsidP="000235F8">
            <w:pPr>
              <w:rPr>
                <w:rFonts w:asciiTheme="minorHAnsi" w:hAnsiTheme="minorHAnsi" w:cs="Arial"/>
                <w:sz w:val="22"/>
                <w:szCs w:val="22"/>
              </w:rPr>
            </w:pPr>
            <w:r w:rsidRPr="004169F5">
              <w:rPr>
                <w:rFonts w:asciiTheme="minorHAnsi" w:hAnsiTheme="minorHAnsi" w:cs="Arial"/>
                <w:sz w:val="22"/>
                <w:szCs w:val="22"/>
              </w:rPr>
              <w:t>Configure, tune offered modules</w:t>
            </w:r>
          </w:p>
        </w:tc>
      </w:tr>
      <w:tr w:rsidR="000B57CF" w:rsidRPr="004169F5" w14:paraId="478421C7" w14:textId="77777777" w:rsidTr="000235F8">
        <w:trPr>
          <w:trHeight w:val="350"/>
        </w:trPr>
        <w:tc>
          <w:tcPr>
            <w:tcW w:w="10883" w:type="dxa"/>
            <w:shd w:val="clear" w:color="auto" w:fill="auto"/>
            <w:noWrap/>
            <w:vAlign w:val="center"/>
          </w:tcPr>
          <w:p w14:paraId="70D57205" w14:textId="77777777" w:rsidR="000B57CF" w:rsidRDefault="000B57CF" w:rsidP="000235F8">
            <w:pPr>
              <w:rPr>
                <w:rFonts w:asciiTheme="minorHAnsi" w:hAnsiTheme="minorHAnsi" w:cs="Arial"/>
                <w:sz w:val="22"/>
                <w:szCs w:val="22"/>
              </w:rPr>
            </w:pPr>
            <w:r>
              <w:rPr>
                <w:rFonts w:asciiTheme="minorHAnsi" w:hAnsiTheme="minorHAnsi" w:cs="Arial"/>
                <w:sz w:val="22"/>
                <w:szCs w:val="22"/>
              </w:rPr>
              <w:t>Configure incidents alarms by severity</w:t>
            </w:r>
          </w:p>
        </w:tc>
      </w:tr>
      <w:tr w:rsidR="000B57CF" w:rsidRPr="004169F5" w14:paraId="201B9BB3" w14:textId="77777777" w:rsidTr="000235F8">
        <w:trPr>
          <w:trHeight w:val="350"/>
        </w:trPr>
        <w:tc>
          <w:tcPr>
            <w:tcW w:w="10883" w:type="dxa"/>
            <w:shd w:val="clear" w:color="auto" w:fill="auto"/>
            <w:noWrap/>
            <w:vAlign w:val="center"/>
          </w:tcPr>
          <w:p w14:paraId="3310A1CA" w14:textId="77777777" w:rsidR="000B57CF" w:rsidRDefault="000B57CF" w:rsidP="000235F8">
            <w:pPr>
              <w:rPr>
                <w:rFonts w:asciiTheme="minorHAnsi" w:hAnsiTheme="minorHAnsi" w:cs="Arial"/>
                <w:sz w:val="22"/>
                <w:szCs w:val="22"/>
              </w:rPr>
            </w:pPr>
            <w:r>
              <w:rPr>
                <w:rFonts w:asciiTheme="minorHAnsi" w:hAnsiTheme="minorHAnsi" w:cs="Arial"/>
                <w:sz w:val="22"/>
                <w:szCs w:val="22"/>
              </w:rPr>
              <w:t>Configure notifications about alarms to send to email group</w:t>
            </w:r>
          </w:p>
        </w:tc>
      </w:tr>
      <w:tr w:rsidR="000B57CF" w:rsidRPr="004169F5" w14:paraId="15726565" w14:textId="77777777" w:rsidTr="000235F8">
        <w:trPr>
          <w:trHeight w:val="350"/>
        </w:trPr>
        <w:tc>
          <w:tcPr>
            <w:tcW w:w="10883" w:type="dxa"/>
            <w:shd w:val="clear" w:color="auto" w:fill="auto"/>
            <w:noWrap/>
            <w:vAlign w:val="center"/>
          </w:tcPr>
          <w:p w14:paraId="5E30E948" w14:textId="77777777" w:rsidR="000B57CF" w:rsidRDefault="000B57CF" w:rsidP="000235F8">
            <w:pPr>
              <w:rPr>
                <w:rFonts w:asciiTheme="minorHAnsi" w:hAnsiTheme="minorHAnsi" w:cs="Arial"/>
                <w:sz w:val="22"/>
                <w:szCs w:val="22"/>
              </w:rPr>
            </w:pPr>
            <w:r>
              <w:rPr>
                <w:rFonts w:asciiTheme="minorHAnsi" w:hAnsiTheme="minorHAnsi" w:cs="Arial"/>
                <w:sz w:val="22"/>
                <w:szCs w:val="22"/>
              </w:rPr>
              <w:t>Configure third party integration with SIEM</w:t>
            </w:r>
          </w:p>
        </w:tc>
      </w:tr>
      <w:tr w:rsidR="000B57CF" w:rsidRPr="004169F5" w14:paraId="3FF3E4A6" w14:textId="77777777" w:rsidTr="000235F8">
        <w:trPr>
          <w:trHeight w:val="350"/>
        </w:trPr>
        <w:tc>
          <w:tcPr>
            <w:tcW w:w="10883" w:type="dxa"/>
            <w:shd w:val="clear" w:color="auto" w:fill="auto"/>
            <w:noWrap/>
            <w:vAlign w:val="center"/>
          </w:tcPr>
          <w:p w14:paraId="60A89F4B" w14:textId="77777777" w:rsidR="000B57CF" w:rsidRDefault="000B57CF" w:rsidP="000235F8">
            <w:pPr>
              <w:rPr>
                <w:rFonts w:asciiTheme="minorHAnsi" w:hAnsiTheme="minorHAnsi" w:cs="Arial"/>
                <w:sz w:val="22"/>
                <w:szCs w:val="22"/>
              </w:rPr>
            </w:pPr>
            <w:r>
              <w:rPr>
                <w:rFonts w:asciiTheme="minorHAnsi" w:hAnsiTheme="minorHAnsi" w:cs="Arial"/>
                <w:sz w:val="22"/>
                <w:szCs w:val="22"/>
              </w:rPr>
              <w:t>Configure Exclusions/Exception Policy for DLP</w:t>
            </w:r>
          </w:p>
        </w:tc>
      </w:tr>
      <w:tr w:rsidR="000B57CF" w:rsidRPr="004169F5" w14:paraId="757F58BA" w14:textId="77777777" w:rsidTr="000235F8">
        <w:trPr>
          <w:trHeight w:val="350"/>
        </w:trPr>
        <w:tc>
          <w:tcPr>
            <w:tcW w:w="10883" w:type="dxa"/>
            <w:shd w:val="clear" w:color="auto" w:fill="auto"/>
            <w:noWrap/>
            <w:vAlign w:val="center"/>
          </w:tcPr>
          <w:p w14:paraId="0A979D6F" w14:textId="77777777" w:rsidR="000B57CF" w:rsidRPr="004169F5" w:rsidRDefault="000B57CF" w:rsidP="000235F8">
            <w:pPr>
              <w:rPr>
                <w:rFonts w:asciiTheme="minorHAnsi" w:hAnsiTheme="minorHAnsi" w:cs="Arial"/>
                <w:sz w:val="22"/>
                <w:szCs w:val="22"/>
              </w:rPr>
            </w:pPr>
            <w:r w:rsidRPr="004169F5">
              <w:rPr>
                <w:rFonts w:asciiTheme="minorHAnsi" w:hAnsiTheme="minorHAnsi" w:cs="Arial"/>
                <w:sz w:val="22"/>
                <w:szCs w:val="22"/>
              </w:rPr>
              <w:t>Knowledge Transfer</w:t>
            </w:r>
          </w:p>
        </w:tc>
      </w:tr>
      <w:tr w:rsidR="000B57CF" w:rsidRPr="004169F5" w14:paraId="777ED3C2" w14:textId="77777777" w:rsidTr="000235F8">
        <w:trPr>
          <w:trHeight w:val="350"/>
        </w:trPr>
        <w:tc>
          <w:tcPr>
            <w:tcW w:w="10883" w:type="dxa"/>
            <w:shd w:val="clear" w:color="auto" w:fill="auto"/>
            <w:noWrap/>
            <w:vAlign w:val="center"/>
          </w:tcPr>
          <w:p w14:paraId="317BDA9F" w14:textId="77777777" w:rsidR="000B57CF" w:rsidRPr="004169F5" w:rsidRDefault="000B57CF" w:rsidP="000235F8">
            <w:pPr>
              <w:jc w:val="center"/>
              <w:rPr>
                <w:rFonts w:asciiTheme="minorHAnsi" w:hAnsiTheme="minorHAnsi" w:cstheme="minorHAnsi"/>
                <w:b/>
                <w:sz w:val="22"/>
                <w:szCs w:val="22"/>
              </w:rPr>
            </w:pPr>
            <w:r w:rsidRPr="004169F5">
              <w:rPr>
                <w:rFonts w:asciiTheme="minorHAnsi" w:hAnsiTheme="minorHAnsi" w:cs="Arial"/>
                <w:b/>
                <w:sz w:val="22"/>
                <w:szCs w:val="22"/>
              </w:rPr>
              <w:t>Additional Requirements</w:t>
            </w:r>
          </w:p>
        </w:tc>
      </w:tr>
      <w:tr w:rsidR="000B57CF" w:rsidRPr="00A81244" w14:paraId="19F77411" w14:textId="77777777" w:rsidTr="000235F8">
        <w:trPr>
          <w:trHeight w:val="350"/>
        </w:trPr>
        <w:tc>
          <w:tcPr>
            <w:tcW w:w="10883" w:type="dxa"/>
            <w:shd w:val="clear" w:color="auto" w:fill="auto"/>
            <w:noWrap/>
            <w:vAlign w:val="center"/>
          </w:tcPr>
          <w:p w14:paraId="578EBD0D" w14:textId="0AEF6787" w:rsidR="000B57CF" w:rsidRPr="00A81244" w:rsidRDefault="00A81244" w:rsidP="00A81244">
            <w:pPr>
              <w:spacing w:before="100" w:beforeAutospacing="1" w:after="100" w:afterAutospacing="1" w:line="360" w:lineRule="auto"/>
              <w:rPr>
                <w:rFonts w:asciiTheme="minorHAnsi" w:eastAsia="Times New Roman" w:hAnsiTheme="minorHAnsi" w:cs="Arial"/>
                <w:sz w:val="22"/>
                <w:szCs w:val="22"/>
              </w:rPr>
            </w:pPr>
            <w:r w:rsidRPr="00A81244">
              <w:rPr>
                <w:rFonts w:asciiTheme="minorHAnsi" w:eastAsia="Times New Roman" w:hAnsiTheme="minorHAnsi" w:cs="Arial"/>
                <w:b/>
                <w:bCs/>
                <w:sz w:val="22"/>
                <w:szCs w:val="22"/>
              </w:rPr>
              <w:t>General Information (Annex #1)</w:t>
            </w:r>
          </w:p>
        </w:tc>
      </w:tr>
      <w:tr w:rsidR="000B57CF" w:rsidRPr="00A81244" w14:paraId="53DAE51F" w14:textId="77777777" w:rsidTr="000235F8">
        <w:trPr>
          <w:trHeight w:val="350"/>
        </w:trPr>
        <w:tc>
          <w:tcPr>
            <w:tcW w:w="10883" w:type="dxa"/>
            <w:shd w:val="clear" w:color="auto" w:fill="auto"/>
            <w:noWrap/>
            <w:vAlign w:val="center"/>
          </w:tcPr>
          <w:p w14:paraId="452C6992" w14:textId="4CF62DD6" w:rsidR="000B57CF" w:rsidRPr="00A81244" w:rsidRDefault="00A81244" w:rsidP="000235F8">
            <w:pPr>
              <w:rPr>
                <w:rFonts w:asciiTheme="minorHAnsi" w:hAnsiTheme="minorHAnsi" w:cs="Arial"/>
                <w:sz w:val="22"/>
                <w:szCs w:val="22"/>
              </w:rPr>
            </w:pPr>
            <w:r w:rsidRPr="00A81244">
              <w:rPr>
                <w:rFonts w:asciiTheme="minorHAnsi" w:eastAsia="Times New Roman" w:hAnsiTheme="minorHAnsi" w:cs="Arial"/>
                <w:b/>
                <w:bCs/>
                <w:sz w:val="22"/>
                <w:szCs w:val="22"/>
              </w:rPr>
              <w:t>Client References</w:t>
            </w:r>
          </w:p>
        </w:tc>
      </w:tr>
      <w:tr w:rsidR="000B57CF" w:rsidRPr="00A81244" w14:paraId="71AC5130" w14:textId="77777777" w:rsidTr="00A81244">
        <w:trPr>
          <w:trHeight w:val="706"/>
        </w:trPr>
        <w:tc>
          <w:tcPr>
            <w:tcW w:w="10883" w:type="dxa"/>
            <w:shd w:val="clear" w:color="auto" w:fill="auto"/>
            <w:noWrap/>
            <w:vAlign w:val="center"/>
          </w:tcPr>
          <w:p w14:paraId="591765E1" w14:textId="20AAAEAB" w:rsidR="000B57CF" w:rsidRPr="00A81244" w:rsidRDefault="00A81244" w:rsidP="00A81244">
            <w:pPr>
              <w:pStyle w:val="NormalWeb"/>
              <w:spacing w:line="360" w:lineRule="auto"/>
              <w:jc w:val="both"/>
              <w:rPr>
                <w:rFonts w:asciiTheme="minorHAnsi" w:hAnsiTheme="minorHAnsi" w:cs="Arial"/>
                <w:b/>
                <w:bCs/>
                <w:sz w:val="22"/>
                <w:szCs w:val="22"/>
                <w:lang w:val="ka-GE"/>
              </w:rPr>
            </w:pPr>
            <w:r w:rsidRPr="00A81244">
              <w:rPr>
                <w:rFonts w:asciiTheme="minorHAnsi" w:hAnsiTheme="minorHAnsi" w:cs="Arial"/>
                <w:b/>
                <w:bCs/>
                <w:sz w:val="22"/>
                <w:szCs w:val="22"/>
              </w:rPr>
              <w:t>Annex #</w:t>
            </w:r>
            <w:r w:rsidRPr="00A81244">
              <w:rPr>
                <w:rFonts w:asciiTheme="minorHAnsi" w:hAnsiTheme="minorHAnsi" w:cs="Arial"/>
                <w:b/>
                <w:bCs/>
                <w:sz w:val="22"/>
                <w:szCs w:val="22"/>
                <w:lang w:val="ka-GE"/>
              </w:rPr>
              <w:t>2</w:t>
            </w:r>
            <w:r w:rsidRPr="00A81244">
              <w:rPr>
                <w:rFonts w:asciiTheme="minorHAnsi" w:hAnsiTheme="minorHAnsi" w:cs="Arial"/>
                <w:b/>
                <w:bCs/>
                <w:sz w:val="22"/>
                <w:szCs w:val="22"/>
              </w:rPr>
              <w:t>- PRICE AND DELIVERY SCHEDULE</w:t>
            </w:r>
          </w:p>
        </w:tc>
      </w:tr>
      <w:tr w:rsidR="00A81244" w:rsidRPr="00A81244" w14:paraId="248440B5" w14:textId="77777777" w:rsidTr="000235F8">
        <w:trPr>
          <w:trHeight w:val="350"/>
        </w:trPr>
        <w:tc>
          <w:tcPr>
            <w:tcW w:w="10883" w:type="dxa"/>
            <w:shd w:val="clear" w:color="auto" w:fill="auto"/>
            <w:noWrap/>
            <w:vAlign w:val="center"/>
          </w:tcPr>
          <w:p w14:paraId="0915CDC9" w14:textId="49A35248" w:rsidR="00A81244" w:rsidRPr="00A81244" w:rsidRDefault="00A81244" w:rsidP="00A81244">
            <w:pPr>
              <w:rPr>
                <w:rFonts w:asciiTheme="minorHAnsi" w:hAnsiTheme="minorHAnsi" w:cs="Arial"/>
                <w:sz w:val="22"/>
                <w:szCs w:val="22"/>
              </w:rPr>
            </w:pPr>
            <w:r w:rsidRPr="00A81244">
              <w:rPr>
                <w:rFonts w:asciiTheme="minorHAnsi" w:hAnsiTheme="minorHAnsi" w:cs="Arial"/>
                <w:sz w:val="22"/>
                <w:szCs w:val="22"/>
              </w:rPr>
              <w:t>The Integrator Company must have at least one Georgian-speaking engineer certified in the proposed product, to which he must submit relevant certificates</w:t>
            </w:r>
          </w:p>
        </w:tc>
      </w:tr>
      <w:tr w:rsidR="00A81244" w:rsidRPr="00A81244" w14:paraId="3A7DCFE2" w14:textId="77777777" w:rsidTr="000235F8">
        <w:trPr>
          <w:trHeight w:val="350"/>
        </w:trPr>
        <w:tc>
          <w:tcPr>
            <w:tcW w:w="10883" w:type="dxa"/>
            <w:shd w:val="clear" w:color="auto" w:fill="auto"/>
            <w:noWrap/>
            <w:vAlign w:val="center"/>
          </w:tcPr>
          <w:p w14:paraId="74960655" w14:textId="19987172" w:rsidR="00A81244" w:rsidRPr="00A81244" w:rsidRDefault="00A81244" w:rsidP="00A81244">
            <w:pPr>
              <w:rPr>
                <w:rFonts w:asciiTheme="minorHAnsi" w:hAnsiTheme="minorHAnsi" w:cs="Arial"/>
                <w:sz w:val="22"/>
                <w:szCs w:val="22"/>
              </w:rPr>
            </w:pPr>
            <w:r w:rsidRPr="00A81244">
              <w:rPr>
                <w:rFonts w:asciiTheme="minorHAnsi" w:hAnsiTheme="minorHAnsi"/>
                <w:sz w:val="22"/>
                <w:szCs w:val="22"/>
              </w:rPr>
              <w:t>The supplier company must have successfully completed at least two projects with the same manufacturer</w:t>
            </w:r>
          </w:p>
        </w:tc>
      </w:tr>
      <w:tr w:rsidR="00A81244" w:rsidRPr="00A81244" w14:paraId="20FA02E9" w14:textId="77777777" w:rsidTr="000235F8">
        <w:trPr>
          <w:trHeight w:val="350"/>
        </w:trPr>
        <w:tc>
          <w:tcPr>
            <w:tcW w:w="10883" w:type="dxa"/>
            <w:shd w:val="clear" w:color="auto" w:fill="auto"/>
            <w:noWrap/>
            <w:vAlign w:val="center"/>
          </w:tcPr>
          <w:p w14:paraId="324E67DB" w14:textId="77777777" w:rsidR="00A81244" w:rsidRPr="00A81244" w:rsidRDefault="00A81244" w:rsidP="00A81244">
            <w:pPr>
              <w:rPr>
                <w:rFonts w:asciiTheme="minorHAnsi" w:hAnsiTheme="minorHAnsi" w:cs="Arial"/>
                <w:sz w:val="22"/>
                <w:szCs w:val="22"/>
              </w:rPr>
            </w:pPr>
            <w:r w:rsidRPr="00A81244">
              <w:rPr>
                <w:rFonts w:asciiTheme="minorHAnsi" w:hAnsiTheme="minorHAnsi" w:cs="Arial"/>
                <w:sz w:val="22"/>
                <w:szCs w:val="22"/>
              </w:rPr>
              <w:t>The bidder must be a registered partner of the manufacturer of the product, as proof of this, he must submit a Manufacturer Authorization Form (MAF)</w:t>
            </w:r>
          </w:p>
          <w:p w14:paraId="54A0340F" w14:textId="77777777" w:rsidR="00A81244" w:rsidRPr="00A81244" w:rsidRDefault="00A81244" w:rsidP="00A81244">
            <w:pPr>
              <w:rPr>
                <w:rFonts w:asciiTheme="minorHAnsi" w:hAnsiTheme="minorHAnsi"/>
              </w:rPr>
            </w:pPr>
          </w:p>
        </w:tc>
      </w:tr>
    </w:tbl>
    <w:p w14:paraId="7AB38037" w14:textId="77777777" w:rsidR="000B57CF" w:rsidRPr="00A81244" w:rsidRDefault="000B57CF" w:rsidP="000B57CF">
      <w:pPr>
        <w:pStyle w:val="Services-Level3"/>
        <w:numPr>
          <w:ilvl w:val="0"/>
          <w:numId w:val="0"/>
        </w:numPr>
        <w:tabs>
          <w:tab w:val="left" w:pos="2138"/>
        </w:tabs>
        <w:jc w:val="both"/>
        <w:rPr>
          <w:bCs/>
          <w:color w:val="000000" w:themeColor="text1"/>
          <w:sz w:val="22"/>
          <w:szCs w:val="22"/>
          <w:lang w:val="en-US"/>
        </w:rPr>
      </w:pPr>
    </w:p>
    <w:p w14:paraId="534ABFD5" w14:textId="3D06D5B3" w:rsidR="000B57CF" w:rsidRDefault="000B57CF" w:rsidP="000B57CF">
      <w:pPr>
        <w:pStyle w:val="Services-Level3"/>
        <w:numPr>
          <w:ilvl w:val="0"/>
          <w:numId w:val="0"/>
        </w:numPr>
        <w:tabs>
          <w:tab w:val="left" w:pos="2138"/>
        </w:tabs>
        <w:ind w:left="927"/>
        <w:jc w:val="both"/>
        <w:rPr>
          <w:bCs/>
          <w:color w:val="000000" w:themeColor="text1"/>
          <w:sz w:val="22"/>
          <w:szCs w:val="22"/>
          <w:lang w:val="en-US"/>
        </w:rPr>
      </w:pPr>
    </w:p>
    <w:p w14:paraId="4A411030" w14:textId="3D16EB50" w:rsidR="00491C83" w:rsidRDefault="00491C83" w:rsidP="000B57CF">
      <w:pPr>
        <w:pStyle w:val="Services-Level3"/>
        <w:numPr>
          <w:ilvl w:val="0"/>
          <w:numId w:val="0"/>
        </w:numPr>
        <w:tabs>
          <w:tab w:val="left" w:pos="2138"/>
        </w:tabs>
        <w:ind w:left="927"/>
        <w:jc w:val="both"/>
        <w:rPr>
          <w:bCs/>
          <w:color w:val="000000" w:themeColor="text1"/>
          <w:sz w:val="22"/>
          <w:szCs w:val="22"/>
          <w:lang w:val="en-US"/>
        </w:rPr>
      </w:pPr>
    </w:p>
    <w:p w14:paraId="334E28CA" w14:textId="710AEDA0" w:rsidR="00491C83" w:rsidRDefault="00491C83" w:rsidP="000B57CF">
      <w:pPr>
        <w:pStyle w:val="Services-Level3"/>
        <w:numPr>
          <w:ilvl w:val="0"/>
          <w:numId w:val="0"/>
        </w:numPr>
        <w:tabs>
          <w:tab w:val="left" w:pos="2138"/>
        </w:tabs>
        <w:ind w:left="927"/>
        <w:jc w:val="both"/>
        <w:rPr>
          <w:bCs/>
          <w:color w:val="000000" w:themeColor="text1"/>
          <w:sz w:val="22"/>
          <w:szCs w:val="22"/>
          <w:lang w:val="en-US"/>
        </w:rPr>
      </w:pPr>
    </w:p>
    <w:p w14:paraId="4B4B07B7" w14:textId="54C5ACD0" w:rsidR="00491C83" w:rsidRDefault="00491C83" w:rsidP="000B57CF">
      <w:pPr>
        <w:pStyle w:val="Services-Level3"/>
        <w:numPr>
          <w:ilvl w:val="0"/>
          <w:numId w:val="0"/>
        </w:numPr>
        <w:tabs>
          <w:tab w:val="left" w:pos="2138"/>
        </w:tabs>
        <w:ind w:left="927"/>
        <w:jc w:val="both"/>
        <w:rPr>
          <w:bCs/>
          <w:color w:val="000000" w:themeColor="text1"/>
          <w:sz w:val="22"/>
          <w:szCs w:val="22"/>
          <w:lang w:val="en-US"/>
        </w:rPr>
      </w:pPr>
    </w:p>
    <w:p w14:paraId="3E837C15" w14:textId="5D91FC37" w:rsidR="00491C83" w:rsidRDefault="00491C83" w:rsidP="000B57CF">
      <w:pPr>
        <w:pStyle w:val="Services-Level3"/>
        <w:numPr>
          <w:ilvl w:val="0"/>
          <w:numId w:val="0"/>
        </w:numPr>
        <w:tabs>
          <w:tab w:val="left" w:pos="2138"/>
        </w:tabs>
        <w:ind w:left="927"/>
        <w:jc w:val="both"/>
        <w:rPr>
          <w:bCs/>
          <w:color w:val="000000" w:themeColor="text1"/>
          <w:sz w:val="22"/>
          <w:szCs w:val="22"/>
          <w:lang w:val="en-US"/>
        </w:rPr>
      </w:pPr>
    </w:p>
    <w:p w14:paraId="4485A9AA" w14:textId="741BEE84" w:rsidR="00491C83" w:rsidRDefault="00491C83" w:rsidP="000B57CF">
      <w:pPr>
        <w:pStyle w:val="Services-Level3"/>
        <w:numPr>
          <w:ilvl w:val="0"/>
          <w:numId w:val="0"/>
        </w:numPr>
        <w:tabs>
          <w:tab w:val="left" w:pos="2138"/>
        </w:tabs>
        <w:ind w:left="927"/>
        <w:jc w:val="both"/>
        <w:rPr>
          <w:bCs/>
          <w:color w:val="000000" w:themeColor="text1"/>
          <w:sz w:val="22"/>
          <w:szCs w:val="22"/>
          <w:lang w:val="en-US"/>
        </w:rPr>
      </w:pPr>
    </w:p>
    <w:p w14:paraId="6E9A29EC" w14:textId="0E846566" w:rsidR="00491C83" w:rsidRDefault="00491C83" w:rsidP="000B57CF">
      <w:pPr>
        <w:pStyle w:val="Services-Level3"/>
        <w:numPr>
          <w:ilvl w:val="0"/>
          <w:numId w:val="0"/>
        </w:numPr>
        <w:tabs>
          <w:tab w:val="left" w:pos="2138"/>
        </w:tabs>
        <w:ind w:left="927"/>
        <w:jc w:val="both"/>
        <w:rPr>
          <w:bCs/>
          <w:color w:val="000000" w:themeColor="text1"/>
          <w:sz w:val="22"/>
          <w:szCs w:val="22"/>
          <w:lang w:val="en-US"/>
        </w:rPr>
      </w:pPr>
    </w:p>
    <w:p w14:paraId="0832B9D3" w14:textId="1AB84083" w:rsidR="00491C83" w:rsidRDefault="00491C83" w:rsidP="000B57CF">
      <w:pPr>
        <w:pStyle w:val="Services-Level3"/>
        <w:numPr>
          <w:ilvl w:val="0"/>
          <w:numId w:val="0"/>
        </w:numPr>
        <w:tabs>
          <w:tab w:val="left" w:pos="2138"/>
        </w:tabs>
        <w:ind w:left="927"/>
        <w:jc w:val="both"/>
        <w:rPr>
          <w:bCs/>
          <w:color w:val="000000" w:themeColor="text1"/>
          <w:sz w:val="22"/>
          <w:szCs w:val="22"/>
          <w:lang w:val="en-US"/>
        </w:rPr>
      </w:pPr>
    </w:p>
    <w:p w14:paraId="298FAB3F" w14:textId="77777777" w:rsidR="00491C83" w:rsidRPr="004169F5" w:rsidRDefault="00491C83" w:rsidP="000B57CF">
      <w:pPr>
        <w:pStyle w:val="Services-Level3"/>
        <w:numPr>
          <w:ilvl w:val="0"/>
          <w:numId w:val="0"/>
        </w:numPr>
        <w:tabs>
          <w:tab w:val="left" w:pos="2138"/>
        </w:tabs>
        <w:ind w:left="927"/>
        <w:jc w:val="both"/>
        <w:rPr>
          <w:bCs/>
          <w:color w:val="000000" w:themeColor="text1"/>
          <w:sz w:val="22"/>
          <w:szCs w:val="22"/>
          <w:lang w:val="en-US"/>
        </w:rPr>
      </w:pPr>
    </w:p>
    <w:p w14:paraId="48D59B8A" w14:textId="7721A14D" w:rsidR="00A81244" w:rsidRPr="00A81244" w:rsidRDefault="00A81244" w:rsidP="00A81244">
      <w:pPr>
        <w:spacing w:before="100" w:beforeAutospacing="1" w:after="100" w:afterAutospacing="1" w:line="360" w:lineRule="auto"/>
        <w:outlineLvl w:val="1"/>
        <w:rPr>
          <w:rFonts w:asciiTheme="minorHAnsi" w:eastAsia="Times New Roman" w:hAnsiTheme="minorHAnsi" w:cs="Arial"/>
          <w:b/>
          <w:bCs/>
          <w:sz w:val="22"/>
          <w:szCs w:val="22"/>
        </w:rPr>
      </w:pPr>
      <w:bookmarkStart w:id="1" w:name="_Toc196313343"/>
      <w:r w:rsidRPr="00A81244">
        <w:rPr>
          <w:rFonts w:asciiTheme="minorHAnsi" w:eastAsia="Times New Roman" w:hAnsiTheme="minorHAnsi" w:cs="Arial"/>
          <w:b/>
          <w:bCs/>
          <w:sz w:val="22"/>
          <w:szCs w:val="22"/>
        </w:rPr>
        <w:lastRenderedPageBreak/>
        <w:t>Grounds for Disqualification</w:t>
      </w:r>
      <w:bookmarkEnd w:id="1"/>
    </w:p>
    <w:p w14:paraId="45BCCB95" w14:textId="77777777" w:rsidR="00A81244" w:rsidRPr="00A81244" w:rsidRDefault="00A81244" w:rsidP="00A81244">
      <w:pPr>
        <w:spacing w:before="100" w:beforeAutospacing="1" w:after="100" w:afterAutospacing="1"/>
        <w:rPr>
          <w:rFonts w:asciiTheme="minorHAnsi" w:hAnsiTheme="minorHAnsi" w:cs="Arial"/>
          <w:sz w:val="22"/>
          <w:szCs w:val="22"/>
        </w:rPr>
      </w:pPr>
      <w:r w:rsidRPr="00A81244">
        <w:rPr>
          <w:rFonts w:asciiTheme="minorHAnsi" w:hAnsiTheme="minorHAnsi" w:cs="Arial"/>
          <w:sz w:val="22"/>
          <w:szCs w:val="22"/>
        </w:rPr>
        <w:t>The purchaser is authorized to disqualify a bidder if:</w:t>
      </w:r>
    </w:p>
    <w:p w14:paraId="76DAF3C9" w14:textId="77777777" w:rsidR="00A81244" w:rsidRPr="00A81244" w:rsidRDefault="00A81244" w:rsidP="00A81244">
      <w:pPr>
        <w:numPr>
          <w:ilvl w:val="0"/>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The bidder is listed in the register of debtors;</w:t>
      </w:r>
    </w:p>
    <w:p w14:paraId="48C74BFF" w14:textId="77777777" w:rsidR="00A81244" w:rsidRPr="00A81244" w:rsidRDefault="00A81244" w:rsidP="00A81244">
      <w:pPr>
        <w:numPr>
          <w:ilvl w:val="0"/>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The bidder’s property is subject to a registered tax lien, mortgage, or other encumbrance/restriction;</w:t>
      </w:r>
    </w:p>
    <w:p w14:paraId="20BB57B8" w14:textId="77777777" w:rsidR="00A81244" w:rsidRPr="00A81244" w:rsidRDefault="00A81244" w:rsidP="00A81244">
      <w:pPr>
        <w:numPr>
          <w:ilvl w:val="0"/>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The bidder is undergoing reorganization, liquidation, or insolvency proceedings;</w:t>
      </w:r>
    </w:p>
    <w:p w14:paraId="4E20FEC4" w14:textId="77777777" w:rsidR="00A81244" w:rsidRPr="00A81244" w:rsidRDefault="00A81244" w:rsidP="00A81244">
      <w:pPr>
        <w:numPr>
          <w:ilvl w:val="0"/>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The documentation/information required by the tender application is:</w:t>
      </w:r>
    </w:p>
    <w:p w14:paraId="62DA85A2" w14:textId="77777777" w:rsidR="00A81244" w:rsidRPr="00A81244" w:rsidRDefault="00A81244" w:rsidP="00A81244">
      <w:pPr>
        <w:numPr>
          <w:ilvl w:val="1"/>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Not fully submitted;</w:t>
      </w:r>
    </w:p>
    <w:p w14:paraId="74458F49" w14:textId="77777777" w:rsidR="00A81244" w:rsidRPr="00A81244" w:rsidRDefault="00A81244" w:rsidP="00A81244">
      <w:pPr>
        <w:numPr>
          <w:ilvl w:val="1"/>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Not in compliance with the specified requirements;</w:t>
      </w:r>
    </w:p>
    <w:p w14:paraId="2B96D1E4" w14:textId="77777777" w:rsidR="00A81244" w:rsidRPr="00A81244" w:rsidRDefault="00A81244" w:rsidP="00A81244">
      <w:pPr>
        <w:numPr>
          <w:ilvl w:val="1"/>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Inaccurate or inconsistent with actual facts;</w:t>
      </w:r>
    </w:p>
    <w:p w14:paraId="53FEE0BC" w14:textId="77777777" w:rsidR="00A81244" w:rsidRPr="00A81244" w:rsidRDefault="00A81244" w:rsidP="00A81244">
      <w:pPr>
        <w:numPr>
          <w:ilvl w:val="1"/>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Falsified.</w:t>
      </w:r>
    </w:p>
    <w:p w14:paraId="74005C05" w14:textId="77777777" w:rsidR="00A81244" w:rsidRPr="00A81244" w:rsidRDefault="00A81244" w:rsidP="00A81244">
      <w:pPr>
        <w:numPr>
          <w:ilvl w:val="1"/>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Refused provide demo account and/or other materials/instructions to duly support the application selection process</w:t>
      </w:r>
    </w:p>
    <w:p w14:paraId="4CD70FD8" w14:textId="77777777" w:rsidR="00A81244" w:rsidRPr="00A81244" w:rsidRDefault="00A81244" w:rsidP="00A81244">
      <w:pPr>
        <w:numPr>
          <w:ilvl w:val="0"/>
          <w:numId w:val="5"/>
        </w:numPr>
        <w:spacing w:before="100" w:beforeAutospacing="1" w:after="100" w:afterAutospacing="1"/>
        <w:rPr>
          <w:rFonts w:asciiTheme="minorHAnsi" w:eastAsia="Times New Roman" w:hAnsiTheme="minorHAnsi" w:cs="Arial"/>
          <w:sz w:val="22"/>
          <w:szCs w:val="22"/>
        </w:rPr>
      </w:pPr>
      <w:r w:rsidRPr="00A81244">
        <w:rPr>
          <w:rFonts w:asciiTheme="minorHAnsi" w:eastAsia="Times New Roman" w:hAnsiTheme="minorHAnsi" w:cs="Arial"/>
          <w:sz w:val="22"/>
          <w:szCs w:val="22"/>
        </w:rPr>
        <w:t>There are other objective circumstances that make the bidder's further participation in the tender impossible.</w:t>
      </w:r>
    </w:p>
    <w:p w14:paraId="7187BE30" w14:textId="77777777" w:rsidR="00A81244" w:rsidRPr="00A81244" w:rsidRDefault="00A81244" w:rsidP="00A81244">
      <w:pPr>
        <w:rPr>
          <w:rFonts w:asciiTheme="minorHAnsi" w:eastAsia="Times New Roman" w:hAnsiTheme="minorHAnsi" w:cs="Arial"/>
          <w:sz w:val="22"/>
          <w:szCs w:val="22"/>
        </w:rPr>
      </w:pPr>
    </w:p>
    <w:p w14:paraId="7F9826C7" w14:textId="77777777" w:rsidR="00A81244" w:rsidRPr="00A81244" w:rsidRDefault="00A81244" w:rsidP="00A81244">
      <w:pPr>
        <w:spacing w:before="100" w:beforeAutospacing="1" w:after="100" w:afterAutospacing="1"/>
        <w:rPr>
          <w:rFonts w:asciiTheme="minorHAnsi" w:eastAsia="Times New Roman" w:hAnsiTheme="minorHAnsi" w:cs="Arial"/>
          <w:b/>
          <w:bCs/>
          <w:sz w:val="22"/>
          <w:szCs w:val="22"/>
        </w:rPr>
      </w:pPr>
      <w:r w:rsidRPr="00A81244">
        <w:rPr>
          <w:rFonts w:asciiTheme="minorHAnsi" w:eastAsia="Times New Roman" w:hAnsiTheme="minorHAnsi" w:cs="Arial"/>
          <w:b/>
          <w:bCs/>
          <w:sz w:val="22"/>
          <w:szCs w:val="22"/>
        </w:rPr>
        <w:t>Confidentiality</w:t>
      </w:r>
    </w:p>
    <w:p w14:paraId="30EAFF0F" w14:textId="401FDDCD" w:rsidR="00A81244" w:rsidRPr="00491C83" w:rsidRDefault="00A81244" w:rsidP="00491C83">
      <w:pPr>
        <w:spacing w:before="100" w:beforeAutospacing="1" w:after="100" w:afterAutospacing="1"/>
        <w:rPr>
          <w:rFonts w:asciiTheme="minorHAnsi" w:eastAsia="Times New Roman" w:hAnsiTheme="minorHAnsi" w:cs="Arial"/>
          <w:sz w:val="22"/>
          <w:szCs w:val="22"/>
          <w:vertAlign w:val="subscript"/>
        </w:rPr>
      </w:pPr>
      <w:r w:rsidRPr="00A81244">
        <w:rPr>
          <w:rFonts w:asciiTheme="minorHAnsi" w:eastAsia="Times New Roman" w:hAnsiTheme="minorHAnsi" w:cs="Arial"/>
          <w:sz w:val="22"/>
          <w:szCs w:val="22"/>
        </w:rPr>
        <w:t>The bidder shall be responsible for maintaining the confidentiality of any information provided by the purchaser, both during the selection process and after its completion, regardless of the outcome of the tender.</w:t>
      </w:r>
    </w:p>
    <w:p w14:paraId="4247A7D5" w14:textId="77777777" w:rsidR="00A81244" w:rsidRPr="00A81244" w:rsidRDefault="00A81244" w:rsidP="00A81244">
      <w:pPr>
        <w:spacing w:before="100" w:beforeAutospacing="1" w:after="100" w:afterAutospacing="1" w:line="360" w:lineRule="auto"/>
        <w:ind w:left="-180"/>
        <w:rPr>
          <w:rFonts w:asciiTheme="minorHAnsi" w:eastAsia="Times New Roman" w:hAnsiTheme="minorHAnsi" w:cs="Arial"/>
          <w:sz w:val="22"/>
          <w:szCs w:val="22"/>
        </w:rPr>
      </w:pPr>
    </w:p>
    <w:p w14:paraId="3DFEB711" w14:textId="4BB028F3" w:rsidR="00A81244" w:rsidRPr="00491C83" w:rsidRDefault="00A81244" w:rsidP="00491C83">
      <w:pPr>
        <w:spacing w:before="100" w:beforeAutospacing="1" w:after="100" w:afterAutospacing="1" w:line="360" w:lineRule="auto"/>
        <w:outlineLvl w:val="1"/>
        <w:rPr>
          <w:rFonts w:asciiTheme="minorHAnsi" w:eastAsia="Times New Roman" w:hAnsiTheme="minorHAnsi" w:cs="Arial"/>
          <w:b/>
          <w:bCs/>
          <w:sz w:val="22"/>
          <w:szCs w:val="22"/>
        </w:rPr>
      </w:pPr>
      <w:bookmarkStart w:id="2" w:name="_Toc192693612"/>
      <w:bookmarkStart w:id="3" w:name="_Toc196313344"/>
      <w:r w:rsidRPr="00A81244">
        <w:rPr>
          <w:rFonts w:asciiTheme="minorHAnsi" w:eastAsia="Times New Roman" w:hAnsiTheme="minorHAnsi" w:cs="Arial"/>
          <w:b/>
          <w:bCs/>
          <w:sz w:val="22"/>
          <w:szCs w:val="22"/>
        </w:rPr>
        <w:t>Submission Process</w:t>
      </w:r>
      <w:bookmarkEnd w:id="2"/>
      <w:bookmarkEnd w:id="3"/>
      <w:r w:rsidRPr="00A81244">
        <w:rPr>
          <w:rFonts w:asciiTheme="minorHAnsi" w:eastAsia="Times New Roman" w:hAnsiTheme="minorHAnsi" w:cs="Arial"/>
          <w:sz w:val="22"/>
          <w:szCs w:val="22"/>
        </w:rPr>
        <w:br/>
      </w:r>
      <w:r w:rsidRPr="00A81244">
        <w:rPr>
          <w:rFonts w:asciiTheme="minorHAnsi" w:hAnsiTheme="minorHAnsi" w:cs="Arial"/>
          <w:sz w:val="22"/>
          <w:szCs w:val="22"/>
        </w:rPr>
        <w:t xml:space="preserve">The submission of tender proposals shall be carried out electronically through www.tenders.ge, in accordance with the sealed envelope </w:t>
      </w:r>
      <w:proofErr w:type="spellStart"/>
      <w:r w:rsidRPr="00A81244">
        <w:rPr>
          <w:rFonts w:asciiTheme="minorHAnsi" w:hAnsiTheme="minorHAnsi" w:cs="Arial"/>
          <w:sz w:val="22"/>
          <w:szCs w:val="22"/>
        </w:rPr>
        <w:t>principleTender</w:t>
      </w:r>
      <w:proofErr w:type="spellEnd"/>
      <w:r w:rsidRPr="00A81244">
        <w:rPr>
          <w:rFonts w:asciiTheme="minorHAnsi" w:hAnsiTheme="minorHAnsi" w:cs="Arial"/>
          <w:sz w:val="22"/>
          <w:szCs w:val="22"/>
        </w:rPr>
        <w:t xml:space="preserve"> proposals must be submitted by no later than </w:t>
      </w:r>
      <w:r w:rsidRPr="00A81244">
        <w:rPr>
          <w:rFonts w:asciiTheme="minorHAnsi" w:hAnsiTheme="minorHAnsi" w:cs="Arial"/>
          <w:b/>
          <w:bCs/>
          <w:sz w:val="22"/>
          <w:szCs w:val="22"/>
        </w:rPr>
        <w:t xml:space="preserve">18:00 (Georgian local time) on </w:t>
      </w:r>
      <w:r>
        <w:rPr>
          <w:rFonts w:asciiTheme="minorHAnsi" w:hAnsiTheme="minorHAnsi" w:cs="Arial"/>
          <w:b/>
          <w:bCs/>
          <w:sz w:val="22"/>
          <w:szCs w:val="22"/>
        </w:rPr>
        <w:t>June 23</w:t>
      </w:r>
      <w:r w:rsidRPr="00A81244">
        <w:rPr>
          <w:rFonts w:asciiTheme="minorHAnsi" w:hAnsiTheme="minorHAnsi" w:cs="Arial"/>
          <w:b/>
          <w:bCs/>
          <w:sz w:val="22"/>
          <w:szCs w:val="22"/>
        </w:rPr>
        <w:t>, 2025.</w:t>
      </w:r>
    </w:p>
    <w:p w14:paraId="7DFBAFF0" w14:textId="3B9986A5" w:rsidR="00A81244" w:rsidRDefault="00A81244"/>
    <w:p w14:paraId="0BCF368B" w14:textId="77777777" w:rsidR="00A81244" w:rsidRDefault="00A81244"/>
    <w:p w14:paraId="4C253CF3" w14:textId="5895F7DF" w:rsidR="00A81244" w:rsidRPr="00A81244" w:rsidRDefault="00A81244" w:rsidP="00A81244">
      <w:pPr>
        <w:spacing w:before="100" w:beforeAutospacing="1" w:after="100" w:afterAutospacing="1" w:line="360" w:lineRule="auto"/>
        <w:outlineLvl w:val="1"/>
        <w:rPr>
          <w:rFonts w:asciiTheme="minorHAnsi" w:eastAsia="Times New Roman" w:hAnsiTheme="minorHAnsi" w:cs="Arial"/>
          <w:b/>
          <w:bCs/>
          <w:sz w:val="22"/>
          <w:szCs w:val="22"/>
        </w:rPr>
      </w:pPr>
      <w:r w:rsidRPr="00A81244">
        <w:rPr>
          <w:rFonts w:asciiTheme="minorHAnsi" w:eastAsia="Times New Roman" w:hAnsiTheme="minorHAnsi" w:cs="Arial"/>
          <w:b/>
          <w:bCs/>
          <w:sz w:val="22"/>
          <w:szCs w:val="22"/>
        </w:rPr>
        <w:t xml:space="preserve"> Additional Information</w:t>
      </w:r>
    </w:p>
    <w:p w14:paraId="4BA00C38" w14:textId="7BFC97B7" w:rsidR="00A81244" w:rsidRPr="00A81244" w:rsidRDefault="00A81244" w:rsidP="00A81244">
      <w:pPr>
        <w:spacing w:before="100" w:beforeAutospacing="1" w:after="100" w:afterAutospacing="1" w:line="360" w:lineRule="auto"/>
        <w:rPr>
          <w:rFonts w:asciiTheme="minorHAnsi" w:eastAsia="Times New Roman" w:hAnsiTheme="minorHAnsi" w:cs="Arial"/>
          <w:sz w:val="22"/>
          <w:szCs w:val="22"/>
        </w:rPr>
      </w:pPr>
      <w:r w:rsidRPr="00A81244">
        <w:rPr>
          <w:rFonts w:asciiTheme="minorHAnsi" w:eastAsia="Times New Roman" w:hAnsiTheme="minorHAnsi" w:cs="Arial"/>
          <w:sz w:val="22"/>
          <w:szCs w:val="22"/>
        </w:rPr>
        <w:t xml:space="preserve">For any questions or clarifications, vendors may contact </w:t>
      </w:r>
      <w:r w:rsidRPr="00A81244">
        <w:rPr>
          <w:rFonts w:asciiTheme="minorHAnsi" w:eastAsia="Times New Roman" w:hAnsiTheme="minorHAnsi" w:cs="Arial"/>
          <w:b/>
          <w:bCs/>
          <w:sz w:val="22"/>
          <w:szCs w:val="22"/>
        </w:rPr>
        <w:t xml:space="preserve">Diana Kadaria </w:t>
      </w:r>
      <w:r w:rsidRPr="00A81244">
        <w:rPr>
          <w:rFonts w:asciiTheme="minorHAnsi" w:eastAsia="Times New Roman" w:hAnsiTheme="minorHAnsi" w:cs="Arial"/>
          <w:sz w:val="22"/>
          <w:szCs w:val="22"/>
        </w:rPr>
        <w:t>at</w:t>
      </w:r>
      <w:r w:rsidRPr="00A81244">
        <w:rPr>
          <w:rFonts w:asciiTheme="minorHAnsi" w:eastAsia="Times New Roman" w:hAnsiTheme="minorHAnsi" w:cs="Arial"/>
          <w:b/>
          <w:bCs/>
          <w:sz w:val="22"/>
          <w:szCs w:val="22"/>
        </w:rPr>
        <w:t xml:space="preserve"> [diana.kadaria@hashbank.ge]</w:t>
      </w:r>
      <w:r w:rsidRPr="00A81244">
        <w:rPr>
          <w:rFonts w:asciiTheme="minorHAnsi" w:eastAsia="Times New Roman" w:hAnsiTheme="minorHAnsi" w:cs="Arial"/>
          <w:sz w:val="22"/>
          <w:szCs w:val="22"/>
        </w:rPr>
        <w:t xml:space="preserve"> Tel: +995 551 67 74 67, </w:t>
      </w:r>
      <w:r w:rsidRPr="00A81244">
        <w:rPr>
          <w:rFonts w:asciiTheme="minorHAnsi" w:eastAsia="Times New Roman" w:hAnsiTheme="minorHAnsi" w:cs="Arial"/>
          <w:b/>
          <w:bCs/>
          <w:sz w:val="22"/>
          <w:szCs w:val="22"/>
        </w:rPr>
        <w:t>[Irakli Dalakishvili]</w:t>
      </w:r>
      <w:r w:rsidRPr="00A81244">
        <w:rPr>
          <w:rFonts w:asciiTheme="minorHAnsi" w:eastAsia="Times New Roman" w:hAnsiTheme="minorHAnsi" w:cs="Arial"/>
          <w:sz w:val="22"/>
          <w:szCs w:val="22"/>
        </w:rPr>
        <w:t xml:space="preserve"> at </w:t>
      </w:r>
      <w:r w:rsidRPr="00A81244">
        <w:rPr>
          <w:rFonts w:asciiTheme="minorHAnsi" w:eastAsia="Times New Roman" w:hAnsiTheme="minorHAnsi" w:cs="Arial"/>
          <w:b/>
          <w:bCs/>
          <w:sz w:val="22"/>
          <w:szCs w:val="22"/>
        </w:rPr>
        <w:t>[irakli.dalakishvili@hashbank.ge]</w:t>
      </w:r>
      <w:r w:rsidRPr="00A81244">
        <w:rPr>
          <w:rFonts w:asciiTheme="minorHAnsi" w:eastAsia="Times New Roman" w:hAnsiTheme="minorHAnsi" w:cs="Arial"/>
          <w:sz w:val="22"/>
          <w:szCs w:val="22"/>
        </w:rPr>
        <w:t xml:space="preserve"> by </w:t>
      </w:r>
      <w:r w:rsidRPr="00A81244">
        <w:rPr>
          <w:rFonts w:asciiTheme="minorHAnsi" w:hAnsiTheme="minorHAnsi" w:cs="Arial"/>
          <w:sz w:val="22"/>
          <w:szCs w:val="22"/>
        </w:rPr>
        <w:t>J</w:t>
      </w:r>
      <w:r w:rsidR="00491C83">
        <w:rPr>
          <w:rFonts w:asciiTheme="minorHAnsi" w:hAnsiTheme="minorHAnsi" w:cs="Arial"/>
          <w:sz w:val="22"/>
          <w:szCs w:val="22"/>
        </w:rPr>
        <w:t>une</w:t>
      </w:r>
      <w:r w:rsidRPr="00A81244">
        <w:rPr>
          <w:rFonts w:asciiTheme="minorHAnsi" w:hAnsiTheme="minorHAnsi" w:cs="Arial"/>
          <w:sz w:val="22"/>
          <w:szCs w:val="22"/>
        </w:rPr>
        <w:t xml:space="preserve"> 23, 2025</w:t>
      </w:r>
    </w:p>
    <w:p w14:paraId="7DCF5BD5" w14:textId="218CCE0D" w:rsidR="00A81244" w:rsidRPr="00491C83" w:rsidRDefault="00A81244" w:rsidP="00491C83">
      <w:pPr>
        <w:spacing w:before="100" w:beforeAutospacing="1" w:after="100" w:afterAutospacing="1" w:line="360" w:lineRule="auto"/>
        <w:rPr>
          <w:rFonts w:asciiTheme="minorHAnsi" w:eastAsia="Times New Roman" w:hAnsiTheme="minorHAnsi" w:cs="Arial"/>
          <w:sz w:val="22"/>
          <w:szCs w:val="22"/>
        </w:rPr>
      </w:pPr>
      <w:r w:rsidRPr="00A81244">
        <w:rPr>
          <w:rFonts w:asciiTheme="minorHAnsi" w:eastAsia="Times New Roman" w:hAnsiTheme="minorHAnsi" w:cs="Arial"/>
          <w:sz w:val="22"/>
          <w:szCs w:val="22"/>
        </w:rPr>
        <w:t>We look forward to receiving your proposals.</w:t>
      </w:r>
    </w:p>
    <w:p w14:paraId="6A6A9FD2" w14:textId="17821C66" w:rsidR="00A81244" w:rsidRDefault="00A81244"/>
    <w:p w14:paraId="75C3A6BF" w14:textId="6DE0F382" w:rsidR="00A81244" w:rsidRDefault="00A81244"/>
    <w:p w14:paraId="7DC14B37" w14:textId="394C50FE" w:rsidR="00A81244" w:rsidRPr="00A81244" w:rsidRDefault="00A81244" w:rsidP="00A81244">
      <w:pPr>
        <w:pStyle w:val="NormalWeb"/>
        <w:spacing w:line="360" w:lineRule="auto"/>
        <w:jc w:val="both"/>
        <w:rPr>
          <w:rFonts w:ascii="Arial" w:hAnsi="Arial" w:cs="Arial"/>
          <w:b/>
          <w:bCs/>
          <w:sz w:val="20"/>
          <w:szCs w:val="20"/>
        </w:rPr>
      </w:pPr>
      <w:r w:rsidRPr="00335453">
        <w:rPr>
          <w:rFonts w:ascii="Arial" w:hAnsi="Arial" w:cs="Arial"/>
          <w:b/>
          <w:bCs/>
          <w:sz w:val="20"/>
          <w:szCs w:val="20"/>
        </w:rPr>
        <w:t>Annex #1</w:t>
      </w:r>
    </w:p>
    <w:p w14:paraId="7B6F886B" w14:textId="77777777" w:rsidR="00A81244" w:rsidRPr="00335453"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A legal form and full name of the bidder:</w:t>
      </w:r>
    </w:p>
    <w:p w14:paraId="00D1726D" w14:textId="77777777" w:rsidR="00A81244"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Identification Code:</w:t>
      </w:r>
    </w:p>
    <w:p w14:paraId="7E1F7551" w14:textId="77777777" w:rsidR="00A81244" w:rsidRPr="007770C0" w:rsidRDefault="00A81244" w:rsidP="00A81244">
      <w:pPr>
        <w:pStyle w:val="NormalWeb"/>
        <w:spacing w:line="360" w:lineRule="auto"/>
        <w:jc w:val="both"/>
        <w:rPr>
          <w:rFonts w:asciiTheme="minorHAnsi" w:hAnsiTheme="minorHAnsi" w:cs="Arial"/>
          <w:sz w:val="20"/>
          <w:szCs w:val="20"/>
          <w:lang w:val="ka-GE"/>
        </w:rPr>
      </w:pPr>
      <w:r w:rsidRPr="007770C0">
        <w:rPr>
          <w:rFonts w:ascii="Arial" w:hAnsi="Arial" w:cs="Arial"/>
          <w:sz w:val="20"/>
          <w:szCs w:val="20"/>
        </w:rPr>
        <w:t>Legal Address of the Bidder</w:t>
      </w:r>
      <w:r>
        <w:rPr>
          <w:rFonts w:asciiTheme="minorHAnsi" w:hAnsiTheme="minorHAnsi" w:cs="Arial"/>
          <w:sz w:val="20"/>
          <w:szCs w:val="20"/>
          <w:lang w:val="ka-GE"/>
        </w:rPr>
        <w:t>:</w:t>
      </w:r>
    </w:p>
    <w:p w14:paraId="17E4ADB3" w14:textId="77777777" w:rsidR="00A81244" w:rsidRPr="00335453"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Position, name and surname of the contact person:</w:t>
      </w:r>
    </w:p>
    <w:p w14:paraId="3AE8620D" w14:textId="77777777" w:rsidR="00A81244" w:rsidRPr="00335453"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 xml:space="preserve">Email, Telephone: </w:t>
      </w:r>
    </w:p>
    <w:p w14:paraId="00066524" w14:textId="77777777" w:rsidR="00A81244" w:rsidRPr="00335453"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 xml:space="preserve">Service bank: </w:t>
      </w:r>
    </w:p>
    <w:p w14:paraId="1062D672" w14:textId="77777777" w:rsidR="00A81244" w:rsidRPr="00335453"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SWIFT code:</w:t>
      </w:r>
    </w:p>
    <w:p w14:paraId="3AC98804" w14:textId="77777777" w:rsidR="00A81244" w:rsidRPr="00335453"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 xml:space="preserve">Acc. number: </w:t>
      </w:r>
    </w:p>
    <w:p w14:paraId="6073D637" w14:textId="77777777" w:rsidR="00A81244" w:rsidRPr="00335453"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1. Total price of the tender proposal</w:t>
      </w:r>
    </w:p>
    <w:p w14:paraId="56EDDEA9" w14:textId="77777777" w:rsidR="00A81244" w:rsidRPr="00335453"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 xml:space="preserve">2. Payment term: </w:t>
      </w:r>
    </w:p>
    <w:p w14:paraId="7E83DBB2" w14:textId="77777777" w:rsidR="00A81244" w:rsidRPr="00335453" w:rsidRDefault="00A81244" w:rsidP="00A81244">
      <w:pPr>
        <w:pStyle w:val="NormalWeb"/>
        <w:spacing w:line="360" w:lineRule="auto"/>
        <w:jc w:val="both"/>
        <w:rPr>
          <w:rFonts w:ascii="Arial" w:hAnsi="Arial" w:cs="Arial"/>
          <w:sz w:val="20"/>
          <w:szCs w:val="20"/>
        </w:rPr>
      </w:pPr>
      <w:r w:rsidRPr="00335453">
        <w:rPr>
          <w:rFonts w:ascii="Arial" w:hAnsi="Arial" w:cs="Arial"/>
          <w:sz w:val="20"/>
          <w:szCs w:val="20"/>
        </w:rPr>
        <w:t>3. Service Delivery Time:</w:t>
      </w:r>
    </w:p>
    <w:p w14:paraId="239047DB" w14:textId="77777777" w:rsidR="00A81244" w:rsidRDefault="00A81244" w:rsidP="00A81244">
      <w:pPr>
        <w:pStyle w:val="NormalWeb"/>
        <w:spacing w:line="360" w:lineRule="auto"/>
        <w:jc w:val="both"/>
        <w:rPr>
          <w:rFonts w:ascii="Arial" w:hAnsi="Arial" w:cs="Arial"/>
          <w:sz w:val="20"/>
          <w:szCs w:val="20"/>
        </w:rPr>
      </w:pPr>
    </w:p>
    <w:p w14:paraId="712170B3" w14:textId="77777777" w:rsidR="00A81244" w:rsidRDefault="00A81244" w:rsidP="00A81244">
      <w:pPr>
        <w:pStyle w:val="NormalWeb"/>
        <w:spacing w:line="360" w:lineRule="auto"/>
        <w:jc w:val="both"/>
        <w:rPr>
          <w:rFonts w:ascii="Arial" w:hAnsi="Arial" w:cs="Arial"/>
          <w:sz w:val="20"/>
          <w:szCs w:val="20"/>
        </w:rPr>
      </w:pPr>
      <w:r w:rsidRPr="007770C0">
        <w:rPr>
          <w:rFonts w:ascii="Arial" w:hAnsi="Arial" w:cs="Arial"/>
          <w:sz w:val="20"/>
          <w:szCs w:val="20"/>
        </w:rPr>
        <w:t xml:space="preserve">Signature of the </w:t>
      </w:r>
      <w:proofErr w:type="gramStart"/>
      <w:r w:rsidRPr="007770C0">
        <w:rPr>
          <w:rFonts w:ascii="Arial" w:hAnsi="Arial" w:cs="Arial"/>
          <w:sz w:val="20"/>
          <w:szCs w:val="20"/>
        </w:rPr>
        <w:t>bidder(</w:t>
      </w:r>
      <w:proofErr w:type="gramEnd"/>
      <w:r w:rsidRPr="007770C0">
        <w:rPr>
          <w:rFonts w:ascii="Arial" w:hAnsi="Arial" w:cs="Arial"/>
          <w:sz w:val="20"/>
          <w:szCs w:val="20"/>
        </w:rPr>
        <w:t xml:space="preserve">Stamp)                    ________________________________ </w:t>
      </w:r>
    </w:p>
    <w:p w14:paraId="2AED828F" w14:textId="77777777" w:rsidR="00A81244" w:rsidRDefault="00A81244" w:rsidP="00A81244">
      <w:pPr>
        <w:pStyle w:val="NormalWeb"/>
        <w:spacing w:line="360" w:lineRule="auto"/>
        <w:jc w:val="both"/>
      </w:pPr>
    </w:p>
    <w:p w14:paraId="74B6616B" w14:textId="77777777" w:rsidR="00A81244" w:rsidRDefault="00A81244" w:rsidP="00A81244">
      <w:pPr>
        <w:pStyle w:val="NormalWeb"/>
        <w:spacing w:line="360" w:lineRule="auto"/>
        <w:jc w:val="both"/>
        <w:rPr>
          <w:rFonts w:ascii="Arial" w:hAnsi="Arial" w:cs="Arial"/>
          <w:sz w:val="20"/>
          <w:szCs w:val="20"/>
        </w:rPr>
      </w:pPr>
      <w:r>
        <w:t xml:space="preserve"> </w:t>
      </w:r>
    </w:p>
    <w:p w14:paraId="69EAA175" w14:textId="6ED0C39E" w:rsidR="00A81244" w:rsidRDefault="00A81244"/>
    <w:p w14:paraId="59ED85F3" w14:textId="0838975E" w:rsidR="00A81244" w:rsidRDefault="00A81244"/>
    <w:p w14:paraId="7E13ADB0" w14:textId="53FB3026" w:rsidR="00A81244" w:rsidRDefault="00A81244"/>
    <w:p w14:paraId="6672FB58" w14:textId="64213B21" w:rsidR="00A81244" w:rsidRDefault="00A81244"/>
    <w:p w14:paraId="69E64ADC" w14:textId="276C3ABB" w:rsidR="00A81244" w:rsidRDefault="00A81244"/>
    <w:p w14:paraId="03CF3165" w14:textId="3EA698C1" w:rsidR="00A81244" w:rsidRDefault="00A81244"/>
    <w:p w14:paraId="183EEC46" w14:textId="3FCBEC40" w:rsidR="00A81244" w:rsidRDefault="00A81244"/>
    <w:p w14:paraId="0D333423" w14:textId="0063D0E0" w:rsidR="00A81244" w:rsidRDefault="00A81244"/>
    <w:p w14:paraId="1050D0A8" w14:textId="77777777" w:rsidR="00A81244" w:rsidRDefault="00A81244"/>
    <w:p w14:paraId="731EEE90" w14:textId="77777777" w:rsidR="00A81244" w:rsidRPr="00ED2C03" w:rsidRDefault="00A81244" w:rsidP="00A81244">
      <w:pPr>
        <w:pStyle w:val="NormalWeb"/>
        <w:spacing w:line="360" w:lineRule="auto"/>
        <w:jc w:val="both"/>
        <w:rPr>
          <w:rFonts w:ascii="Arial" w:hAnsi="Arial" w:cs="Arial"/>
          <w:b/>
          <w:bCs/>
          <w:sz w:val="20"/>
          <w:szCs w:val="20"/>
          <w:lang w:val="ka-GE"/>
        </w:rPr>
      </w:pPr>
      <w:r w:rsidRPr="00ED2C03">
        <w:rPr>
          <w:rFonts w:ascii="Arial" w:hAnsi="Arial" w:cs="Arial"/>
          <w:b/>
          <w:bCs/>
          <w:sz w:val="20"/>
          <w:szCs w:val="20"/>
        </w:rPr>
        <w:t>Annex #</w:t>
      </w:r>
      <w:r w:rsidRPr="00ED2C03">
        <w:rPr>
          <w:rFonts w:ascii="Arial" w:hAnsi="Arial" w:cs="Arial"/>
          <w:b/>
          <w:bCs/>
          <w:sz w:val="20"/>
          <w:szCs w:val="20"/>
          <w:lang w:val="ka-GE"/>
        </w:rPr>
        <w:t>2</w:t>
      </w:r>
    </w:p>
    <w:p w14:paraId="04B2F145" w14:textId="77777777" w:rsidR="00A81244" w:rsidRPr="00ED2C03" w:rsidRDefault="00A81244" w:rsidP="00A81244">
      <w:pPr>
        <w:pStyle w:val="NormalWeb"/>
        <w:spacing w:line="360" w:lineRule="auto"/>
        <w:jc w:val="both"/>
        <w:rPr>
          <w:rFonts w:ascii="Arial" w:hAnsi="Arial" w:cs="Arial"/>
          <w:b/>
          <w:bCs/>
          <w:sz w:val="20"/>
          <w:szCs w:val="20"/>
        </w:rPr>
      </w:pPr>
      <w:r w:rsidRPr="00ED2C03">
        <w:rPr>
          <w:rFonts w:ascii="Arial" w:hAnsi="Arial" w:cs="Arial"/>
          <w:b/>
          <w:bCs/>
          <w:sz w:val="20"/>
          <w:szCs w:val="20"/>
        </w:rPr>
        <w:t>PRICE AND DELIVERY SCHEDULE</w:t>
      </w:r>
    </w:p>
    <w:p w14:paraId="2C0FC5EE" w14:textId="74290D21" w:rsidR="00A81244" w:rsidRDefault="00A81244"/>
    <w:tbl>
      <w:tblPr>
        <w:tblW w:w="9942" w:type="dxa"/>
        <w:tblLook w:val="04A0" w:firstRow="1" w:lastRow="0" w:firstColumn="1" w:lastColumn="0" w:noHBand="0" w:noVBand="1"/>
      </w:tblPr>
      <w:tblGrid>
        <w:gridCol w:w="361"/>
        <w:gridCol w:w="1847"/>
        <w:gridCol w:w="1539"/>
        <w:gridCol w:w="1539"/>
        <w:gridCol w:w="2401"/>
        <w:gridCol w:w="1108"/>
        <w:gridCol w:w="1231"/>
      </w:tblGrid>
      <w:tr w:rsidR="00A81244" w:rsidRPr="00A81244" w14:paraId="34C3FC8F" w14:textId="77777777" w:rsidTr="00A81244">
        <w:trPr>
          <w:trHeight w:val="290"/>
        </w:trPr>
        <w:tc>
          <w:tcPr>
            <w:tcW w:w="277" w:type="dxa"/>
            <w:tcBorders>
              <w:top w:val="single" w:sz="8" w:space="0" w:color="auto"/>
              <w:left w:val="single" w:sz="8" w:space="0" w:color="auto"/>
              <w:bottom w:val="single" w:sz="8" w:space="0" w:color="auto"/>
              <w:right w:val="single" w:sz="8" w:space="0" w:color="auto"/>
            </w:tcBorders>
            <w:shd w:val="clear" w:color="000000" w:fill="DA9BF3"/>
            <w:vAlign w:val="center"/>
            <w:hideMark/>
          </w:tcPr>
          <w:p w14:paraId="3DCFAB6E" w14:textId="77777777" w:rsidR="00A81244" w:rsidRPr="00A81244" w:rsidRDefault="00A81244" w:rsidP="00A81244">
            <w:pPr>
              <w:jc w:val="cente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N</w:t>
            </w:r>
          </w:p>
        </w:tc>
        <w:tc>
          <w:tcPr>
            <w:tcW w:w="1847" w:type="dxa"/>
            <w:tcBorders>
              <w:top w:val="single" w:sz="8" w:space="0" w:color="auto"/>
              <w:left w:val="nil"/>
              <w:bottom w:val="single" w:sz="8" w:space="0" w:color="auto"/>
              <w:right w:val="single" w:sz="8" w:space="0" w:color="auto"/>
            </w:tcBorders>
            <w:shd w:val="clear" w:color="000000" w:fill="DA9BF3"/>
            <w:noWrap/>
            <w:vAlign w:val="center"/>
            <w:hideMark/>
          </w:tcPr>
          <w:p w14:paraId="62F07300"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Service/ Product Name</w:t>
            </w:r>
          </w:p>
        </w:tc>
        <w:tc>
          <w:tcPr>
            <w:tcW w:w="1539" w:type="dxa"/>
            <w:tcBorders>
              <w:top w:val="single" w:sz="8" w:space="0" w:color="auto"/>
              <w:left w:val="nil"/>
              <w:bottom w:val="single" w:sz="8" w:space="0" w:color="auto"/>
              <w:right w:val="single" w:sz="8" w:space="0" w:color="auto"/>
            </w:tcBorders>
            <w:shd w:val="clear" w:color="000000" w:fill="DA9BF3"/>
            <w:noWrap/>
            <w:vAlign w:val="center"/>
            <w:hideMark/>
          </w:tcPr>
          <w:p w14:paraId="3D78B140"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Quantity</w:t>
            </w:r>
          </w:p>
        </w:tc>
        <w:tc>
          <w:tcPr>
            <w:tcW w:w="1539" w:type="dxa"/>
            <w:tcBorders>
              <w:top w:val="single" w:sz="8" w:space="0" w:color="auto"/>
              <w:left w:val="nil"/>
              <w:bottom w:val="single" w:sz="8" w:space="0" w:color="auto"/>
              <w:right w:val="single" w:sz="8" w:space="0" w:color="auto"/>
            </w:tcBorders>
            <w:shd w:val="clear" w:color="000000" w:fill="DA9BF3"/>
            <w:noWrap/>
            <w:vAlign w:val="center"/>
            <w:hideMark/>
          </w:tcPr>
          <w:p w14:paraId="5A34AD74"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Unit Price (USD)</w:t>
            </w:r>
          </w:p>
        </w:tc>
        <w:tc>
          <w:tcPr>
            <w:tcW w:w="2401" w:type="dxa"/>
            <w:tcBorders>
              <w:top w:val="single" w:sz="8" w:space="0" w:color="auto"/>
              <w:left w:val="nil"/>
              <w:bottom w:val="single" w:sz="8" w:space="0" w:color="auto"/>
              <w:right w:val="single" w:sz="8" w:space="0" w:color="auto"/>
            </w:tcBorders>
            <w:shd w:val="clear" w:color="000000" w:fill="DA9BF3"/>
            <w:noWrap/>
            <w:vAlign w:val="center"/>
            <w:hideMark/>
          </w:tcPr>
          <w:p w14:paraId="31EF26BD"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Total Price (USD)</w:t>
            </w:r>
            <w:r w:rsidRPr="00A81244">
              <w:rPr>
                <w:rFonts w:ascii="Calibri" w:eastAsia="Times New Roman" w:hAnsi="Calibri" w:cs="Arial"/>
                <w:color w:val="000000"/>
                <w:sz w:val="22"/>
                <w:szCs w:val="22"/>
              </w:rPr>
              <w:t xml:space="preserve"> including VAT</w:t>
            </w:r>
          </w:p>
        </w:tc>
        <w:tc>
          <w:tcPr>
            <w:tcW w:w="1108" w:type="dxa"/>
            <w:tcBorders>
              <w:top w:val="single" w:sz="8" w:space="0" w:color="auto"/>
              <w:left w:val="nil"/>
              <w:bottom w:val="single" w:sz="8" w:space="0" w:color="auto"/>
              <w:right w:val="single" w:sz="8" w:space="0" w:color="auto"/>
            </w:tcBorders>
            <w:shd w:val="clear" w:color="000000" w:fill="DA9BF3"/>
            <w:noWrap/>
            <w:vAlign w:val="center"/>
            <w:hideMark/>
          </w:tcPr>
          <w:p w14:paraId="3EADF435"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Delivery Time</w:t>
            </w:r>
          </w:p>
        </w:tc>
        <w:tc>
          <w:tcPr>
            <w:tcW w:w="1231" w:type="dxa"/>
            <w:tcBorders>
              <w:top w:val="single" w:sz="8" w:space="0" w:color="auto"/>
              <w:left w:val="nil"/>
              <w:bottom w:val="single" w:sz="8" w:space="0" w:color="auto"/>
              <w:right w:val="single" w:sz="8" w:space="0" w:color="auto"/>
            </w:tcBorders>
            <w:shd w:val="clear" w:color="000000" w:fill="DA9BF3"/>
            <w:noWrap/>
            <w:vAlign w:val="center"/>
            <w:hideMark/>
          </w:tcPr>
          <w:p w14:paraId="327E5D09"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Payment Terms</w:t>
            </w:r>
          </w:p>
        </w:tc>
      </w:tr>
      <w:tr w:rsidR="00A81244" w:rsidRPr="00A81244" w14:paraId="15ED54D3" w14:textId="77777777" w:rsidTr="00A81244">
        <w:trPr>
          <w:trHeight w:val="290"/>
        </w:trPr>
        <w:tc>
          <w:tcPr>
            <w:tcW w:w="277" w:type="dxa"/>
            <w:tcBorders>
              <w:top w:val="nil"/>
              <w:left w:val="single" w:sz="8" w:space="0" w:color="auto"/>
              <w:bottom w:val="single" w:sz="8" w:space="0" w:color="auto"/>
              <w:right w:val="single" w:sz="8" w:space="0" w:color="auto"/>
            </w:tcBorders>
            <w:shd w:val="clear" w:color="auto" w:fill="auto"/>
            <w:noWrap/>
            <w:vAlign w:val="center"/>
            <w:hideMark/>
          </w:tcPr>
          <w:p w14:paraId="5DBCCF11" w14:textId="77777777" w:rsidR="00A81244" w:rsidRPr="00A81244" w:rsidRDefault="00A81244" w:rsidP="00A81244">
            <w:pPr>
              <w:jc w:val="center"/>
              <w:rPr>
                <w:rFonts w:ascii="Arial" w:eastAsia="Times New Roman" w:hAnsi="Arial" w:cs="Arial"/>
                <w:color w:val="000000"/>
                <w:sz w:val="20"/>
                <w:szCs w:val="20"/>
              </w:rPr>
            </w:pPr>
            <w:r w:rsidRPr="00A81244">
              <w:rPr>
                <w:rFonts w:ascii="Arial" w:eastAsia="Times New Roman" w:hAnsi="Arial" w:cs="Arial"/>
                <w:color w:val="000000"/>
                <w:sz w:val="20"/>
                <w:szCs w:val="20"/>
              </w:rPr>
              <w:t>1</w:t>
            </w:r>
          </w:p>
        </w:tc>
        <w:tc>
          <w:tcPr>
            <w:tcW w:w="1847" w:type="dxa"/>
            <w:tcBorders>
              <w:top w:val="nil"/>
              <w:left w:val="nil"/>
              <w:bottom w:val="single" w:sz="8" w:space="0" w:color="auto"/>
              <w:right w:val="single" w:sz="8" w:space="0" w:color="auto"/>
            </w:tcBorders>
            <w:shd w:val="clear" w:color="auto" w:fill="auto"/>
            <w:noWrap/>
            <w:vAlign w:val="center"/>
            <w:hideMark/>
          </w:tcPr>
          <w:p w14:paraId="2F60A634"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29D4E95E"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680971C5"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2401" w:type="dxa"/>
            <w:tcBorders>
              <w:top w:val="nil"/>
              <w:left w:val="nil"/>
              <w:bottom w:val="single" w:sz="8" w:space="0" w:color="auto"/>
              <w:right w:val="single" w:sz="8" w:space="0" w:color="auto"/>
            </w:tcBorders>
            <w:shd w:val="clear" w:color="auto" w:fill="auto"/>
            <w:noWrap/>
            <w:vAlign w:val="center"/>
            <w:hideMark/>
          </w:tcPr>
          <w:p w14:paraId="4D5E7C5D"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108" w:type="dxa"/>
            <w:tcBorders>
              <w:top w:val="nil"/>
              <w:left w:val="nil"/>
              <w:bottom w:val="single" w:sz="8" w:space="0" w:color="auto"/>
              <w:right w:val="single" w:sz="8" w:space="0" w:color="auto"/>
            </w:tcBorders>
            <w:shd w:val="clear" w:color="auto" w:fill="auto"/>
            <w:noWrap/>
            <w:vAlign w:val="center"/>
            <w:hideMark/>
          </w:tcPr>
          <w:p w14:paraId="3CD5E7E8"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231" w:type="dxa"/>
            <w:tcBorders>
              <w:top w:val="nil"/>
              <w:left w:val="nil"/>
              <w:bottom w:val="single" w:sz="8" w:space="0" w:color="auto"/>
              <w:right w:val="single" w:sz="8" w:space="0" w:color="auto"/>
            </w:tcBorders>
            <w:shd w:val="clear" w:color="auto" w:fill="auto"/>
            <w:noWrap/>
            <w:vAlign w:val="center"/>
            <w:hideMark/>
          </w:tcPr>
          <w:p w14:paraId="752E8D3D"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r>
      <w:tr w:rsidR="00A81244" w:rsidRPr="00A81244" w14:paraId="2FB7EC4A" w14:textId="77777777" w:rsidTr="00A81244">
        <w:trPr>
          <w:trHeight w:val="290"/>
        </w:trPr>
        <w:tc>
          <w:tcPr>
            <w:tcW w:w="277" w:type="dxa"/>
            <w:tcBorders>
              <w:top w:val="nil"/>
              <w:left w:val="single" w:sz="8" w:space="0" w:color="auto"/>
              <w:bottom w:val="single" w:sz="8" w:space="0" w:color="auto"/>
              <w:right w:val="single" w:sz="8" w:space="0" w:color="auto"/>
            </w:tcBorders>
            <w:shd w:val="clear" w:color="auto" w:fill="auto"/>
            <w:noWrap/>
            <w:vAlign w:val="center"/>
            <w:hideMark/>
          </w:tcPr>
          <w:p w14:paraId="4CDBD946" w14:textId="77777777" w:rsidR="00A81244" w:rsidRPr="00A81244" w:rsidRDefault="00A81244" w:rsidP="00A81244">
            <w:pPr>
              <w:jc w:val="center"/>
              <w:rPr>
                <w:rFonts w:ascii="Arial" w:eastAsia="Times New Roman" w:hAnsi="Arial" w:cs="Arial"/>
                <w:color w:val="000000"/>
                <w:sz w:val="20"/>
                <w:szCs w:val="20"/>
              </w:rPr>
            </w:pPr>
            <w:r w:rsidRPr="00A81244">
              <w:rPr>
                <w:rFonts w:ascii="Arial" w:eastAsia="Times New Roman" w:hAnsi="Arial" w:cs="Arial"/>
                <w:color w:val="000000"/>
                <w:sz w:val="20"/>
                <w:szCs w:val="20"/>
              </w:rPr>
              <w:t>2</w:t>
            </w:r>
          </w:p>
        </w:tc>
        <w:tc>
          <w:tcPr>
            <w:tcW w:w="1847" w:type="dxa"/>
            <w:tcBorders>
              <w:top w:val="nil"/>
              <w:left w:val="nil"/>
              <w:bottom w:val="single" w:sz="8" w:space="0" w:color="auto"/>
              <w:right w:val="single" w:sz="8" w:space="0" w:color="auto"/>
            </w:tcBorders>
            <w:shd w:val="clear" w:color="auto" w:fill="auto"/>
            <w:noWrap/>
            <w:vAlign w:val="center"/>
            <w:hideMark/>
          </w:tcPr>
          <w:p w14:paraId="292B3C3B"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7AB26930"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297A5AC3"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2401" w:type="dxa"/>
            <w:tcBorders>
              <w:top w:val="nil"/>
              <w:left w:val="nil"/>
              <w:bottom w:val="single" w:sz="8" w:space="0" w:color="auto"/>
              <w:right w:val="single" w:sz="8" w:space="0" w:color="auto"/>
            </w:tcBorders>
            <w:shd w:val="clear" w:color="auto" w:fill="auto"/>
            <w:noWrap/>
            <w:vAlign w:val="center"/>
            <w:hideMark/>
          </w:tcPr>
          <w:p w14:paraId="55F8BC49"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108" w:type="dxa"/>
            <w:tcBorders>
              <w:top w:val="nil"/>
              <w:left w:val="nil"/>
              <w:bottom w:val="single" w:sz="8" w:space="0" w:color="auto"/>
              <w:right w:val="single" w:sz="8" w:space="0" w:color="auto"/>
            </w:tcBorders>
            <w:shd w:val="clear" w:color="auto" w:fill="auto"/>
            <w:noWrap/>
            <w:vAlign w:val="center"/>
            <w:hideMark/>
          </w:tcPr>
          <w:p w14:paraId="425C275E"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231" w:type="dxa"/>
            <w:tcBorders>
              <w:top w:val="nil"/>
              <w:left w:val="nil"/>
              <w:bottom w:val="single" w:sz="8" w:space="0" w:color="auto"/>
              <w:right w:val="single" w:sz="8" w:space="0" w:color="auto"/>
            </w:tcBorders>
            <w:shd w:val="clear" w:color="auto" w:fill="auto"/>
            <w:noWrap/>
            <w:vAlign w:val="center"/>
            <w:hideMark/>
          </w:tcPr>
          <w:p w14:paraId="645F1BBC"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r>
      <w:tr w:rsidR="00A81244" w:rsidRPr="00A81244" w14:paraId="4AC9B6F7" w14:textId="77777777" w:rsidTr="00A81244">
        <w:trPr>
          <w:trHeight w:val="290"/>
        </w:trPr>
        <w:tc>
          <w:tcPr>
            <w:tcW w:w="277" w:type="dxa"/>
            <w:tcBorders>
              <w:top w:val="nil"/>
              <w:left w:val="single" w:sz="8" w:space="0" w:color="auto"/>
              <w:bottom w:val="single" w:sz="8" w:space="0" w:color="auto"/>
              <w:right w:val="single" w:sz="8" w:space="0" w:color="auto"/>
            </w:tcBorders>
            <w:shd w:val="clear" w:color="auto" w:fill="auto"/>
            <w:noWrap/>
            <w:vAlign w:val="center"/>
            <w:hideMark/>
          </w:tcPr>
          <w:p w14:paraId="3DF0A96D" w14:textId="77777777" w:rsidR="00A81244" w:rsidRPr="00A81244" w:rsidRDefault="00A81244" w:rsidP="00A81244">
            <w:pPr>
              <w:jc w:val="center"/>
              <w:rPr>
                <w:rFonts w:ascii="Arial" w:eastAsia="Times New Roman" w:hAnsi="Arial" w:cs="Arial"/>
                <w:color w:val="000000"/>
                <w:sz w:val="20"/>
                <w:szCs w:val="20"/>
              </w:rPr>
            </w:pPr>
            <w:r w:rsidRPr="00A81244">
              <w:rPr>
                <w:rFonts w:ascii="Arial" w:eastAsia="Times New Roman" w:hAnsi="Arial" w:cs="Arial"/>
                <w:color w:val="000000"/>
                <w:sz w:val="20"/>
                <w:szCs w:val="20"/>
              </w:rPr>
              <w:t>3</w:t>
            </w:r>
          </w:p>
        </w:tc>
        <w:tc>
          <w:tcPr>
            <w:tcW w:w="1847" w:type="dxa"/>
            <w:tcBorders>
              <w:top w:val="nil"/>
              <w:left w:val="nil"/>
              <w:bottom w:val="single" w:sz="8" w:space="0" w:color="auto"/>
              <w:right w:val="single" w:sz="8" w:space="0" w:color="auto"/>
            </w:tcBorders>
            <w:shd w:val="clear" w:color="auto" w:fill="auto"/>
            <w:noWrap/>
            <w:vAlign w:val="center"/>
            <w:hideMark/>
          </w:tcPr>
          <w:p w14:paraId="54A08C91"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2E3D8BF1"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0A2E5A4C"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2401" w:type="dxa"/>
            <w:tcBorders>
              <w:top w:val="nil"/>
              <w:left w:val="nil"/>
              <w:bottom w:val="single" w:sz="8" w:space="0" w:color="auto"/>
              <w:right w:val="single" w:sz="8" w:space="0" w:color="auto"/>
            </w:tcBorders>
            <w:shd w:val="clear" w:color="auto" w:fill="auto"/>
            <w:noWrap/>
            <w:vAlign w:val="center"/>
            <w:hideMark/>
          </w:tcPr>
          <w:p w14:paraId="2F4ABC80"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108" w:type="dxa"/>
            <w:tcBorders>
              <w:top w:val="nil"/>
              <w:left w:val="nil"/>
              <w:bottom w:val="single" w:sz="8" w:space="0" w:color="auto"/>
              <w:right w:val="single" w:sz="8" w:space="0" w:color="auto"/>
            </w:tcBorders>
            <w:shd w:val="clear" w:color="auto" w:fill="auto"/>
            <w:noWrap/>
            <w:vAlign w:val="center"/>
            <w:hideMark/>
          </w:tcPr>
          <w:p w14:paraId="612E3864"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231" w:type="dxa"/>
            <w:tcBorders>
              <w:top w:val="nil"/>
              <w:left w:val="nil"/>
              <w:bottom w:val="single" w:sz="8" w:space="0" w:color="auto"/>
              <w:right w:val="single" w:sz="8" w:space="0" w:color="auto"/>
            </w:tcBorders>
            <w:shd w:val="clear" w:color="auto" w:fill="auto"/>
            <w:noWrap/>
            <w:vAlign w:val="center"/>
            <w:hideMark/>
          </w:tcPr>
          <w:p w14:paraId="45362F84"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r>
      <w:tr w:rsidR="00A81244" w:rsidRPr="00A81244" w14:paraId="5989C84E" w14:textId="77777777" w:rsidTr="00A81244">
        <w:trPr>
          <w:trHeight w:val="290"/>
        </w:trPr>
        <w:tc>
          <w:tcPr>
            <w:tcW w:w="277" w:type="dxa"/>
            <w:tcBorders>
              <w:top w:val="nil"/>
              <w:left w:val="single" w:sz="8" w:space="0" w:color="auto"/>
              <w:bottom w:val="single" w:sz="8" w:space="0" w:color="auto"/>
              <w:right w:val="single" w:sz="8" w:space="0" w:color="auto"/>
            </w:tcBorders>
            <w:shd w:val="clear" w:color="auto" w:fill="auto"/>
            <w:noWrap/>
            <w:vAlign w:val="center"/>
            <w:hideMark/>
          </w:tcPr>
          <w:p w14:paraId="377CFDAB" w14:textId="77777777" w:rsidR="00A81244" w:rsidRPr="00A81244" w:rsidRDefault="00A81244" w:rsidP="00A81244">
            <w:pPr>
              <w:jc w:val="center"/>
              <w:rPr>
                <w:rFonts w:ascii="Arial" w:eastAsia="Times New Roman" w:hAnsi="Arial" w:cs="Arial"/>
                <w:color w:val="000000"/>
                <w:sz w:val="20"/>
                <w:szCs w:val="20"/>
              </w:rPr>
            </w:pPr>
            <w:r w:rsidRPr="00A81244">
              <w:rPr>
                <w:rFonts w:ascii="Arial" w:eastAsia="Times New Roman" w:hAnsi="Arial" w:cs="Arial"/>
                <w:color w:val="000000"/>
                <w:sz w:val="20"/>
                <w:szCs w:val="20"/>
              </w:rPr>
              <w:t>4</w:t>
            </w:r>
          </w:p>
        </w:tc>
        <w:tc>
          <w:tcPr>
            <w:tcW w:w="1847" w:type="dxa"/>
            <w:tcBorders>
              <w:top w:val="nil"/>
              <w:left w:val="nil"/>
              <w:bottom w:val="single" w:sz="8" w:space="0" w:color="auto"/>
              <w:right w:val="single" w:sz="8" w:space="0" w:color="auto"/>
            </w:tcBorders>
            <w:shd w:val="clear" w:color="auto" w:fill="auto"/>
            <w:noWrap/>
            <w:vAlign w:val="center"/>
            <w:hideMark/>
          </w:tcPr>
          <w:p w14:paraId="511C5E17"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48527172"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1DD6FB22"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 </w:t>
            </w:r>
          </w:p>
        </w:tc>
        <w:tc>
          <w:tcPr>
            <w:tcW w:w="2401" w:type="dxa"/>
            <w:tcBorders>
              <w:top w:val="nil"/>
              <w:left w:val="nil"/>
              <w:bottom w:val="single" w:sz="8" w:space="0" w:color="auto"/>
              <w:right w:val="single" w:sz="8" w:space="0" w:color="auto"/>
            </w:tcBorders>
            <w:shd w:val="clear" w:color="auto" w:fill="auto"/>
            <w:noWrap/>
            <w:vAlign w:val="bottom"/>
            <w:hideMark/>
          </w:tcPr>
          <w:p w14:paraId="5B6CFD39" w14:textId="77777777" w:rsidR="00A81244" w:rsidRPr="00A81244" w:rsidRDefault="00A81244" w:rsidP="00A81244">
            <w:pPr>
              <w:rPr>
                <w:rFonts w:ascii="Calibri" w:eastAsia="Times New Roman" w:hAnsi="Calibri"/>
                <w:color w:val="000000"/>
                <w:sz w:val="22"/>
                <w:szCs w:val="22"/>
              </w:rPr>
            </w:pPr>
            <w:r w:rsidRPr="00A81244">
              <w:rPr>
                <w:rFonts w:ascii="Calibri" w:eastAsia="Times New Roman" w:hAnsi="Calibri"/>
                <w:color w:val="000000"/>
                <w:sz w:val="22"/>
                <w:szCs w:val="22"/>
              </w:rPr>
              <w:t> </w:t>
            </w:r>
          </w:p>
        </w:tc>
        <w:tc>
          <w:tcPr>
            <w:tcW w:w="1108" w:type="dxa"/>
            <w:tcBorders>
              <w:top w:val="nil"/>
              <w:left w:val="nil"/>
              <w:bottom w:val="single" w:sz="8" w:space="0" w:color="auto"/>
              <w:right w:val="single" w:sz="8" w:space="0" w:color="auto"/>
            </w:tcBorders>
            <w:shd w:val="clear" w:color="auto" w:fill="auto"/>
            <w:noWrap/>
            <w:vAlign w:val="center"/>
            <w:hideMark/>
          </w:tcPr>
          <w:p w14:paraId="7F3B648C"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231" w:type="dxa"/>
            <w:tcBorders>
              <w:top w:val="nil"/>
              <w:left w:val="nil"/>
              <w:bottom w:val="single" w:sz="8" w:space="0" w:color="auto"/>
              <w:right w:val="single" w:sz="8" w:space="0" w:color="auto"/>
            </w:tcBorders>
            <w:shd w:val="clear" w:color="auto" w:fill="auto"/>
            <w:noWrap/>
            <w:vAlign w:val="center"/>
            <w:hideMark/>
          </w:tcPr>
          <w:p w14:paraId="248D3DD5"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r>
      <w:tr w:rsidR="00A81244" w:rsidRPr="00A81244" w14:paraId="10A29FF2" w14:textId="77777777" w:rsidTr="00A81244">
        <w:trPr>
          <w:trHeight w:val="290"/>
        </w:trPr>
        <w:tc>
          <w:tcPr>
            <w:tcW w:w="277" w:type="dxa"/>
            <w:tcBorders>
              <w:top w:val="nil"/>
              <w:left w:val="single" w:sz="8" w:space="0" w:color="auto"/>
              <w:bottom w:val="single" w:sz="8" w:space="0" w:color="auto"/>
              <w:right w:val="single" w:sz="8" w:space="0" w:color="auto"/>
            </w:tcBorders>
            <w:shd w:val="clear" w:color="auto" w:fill="auto"/>
            <w:noWrap/>
            <w:vAlign w:val="center"/>
            <w:hideMark/>
          </w:tcPr>
          <w:p w14:paraId="15D62D75" w14:textId="77777777" w:rsidR="00A81244" w:rsidRPr="00A81244" w:rsidRDefault="00A81244" w:rsidP="00A81244">
            <w:pPr>
              <w:jc w:val="center"/>
              <w:rPr>
                <w:rFonts w:ascii="Arial" w:eastAsia="Times New Roman" w:hAnsi="Arial" w:cs="Arial"/>
                <w:color w:val="000000"/>
                <w:sz w:val="20"/>
                <w:szCs w:val="20"/>
              </w:rPr>
            </w:pPr>
            <w:r w:rsidRPr="00A81244">
              <w:rPr>
                <w:rFonts w:ascii="Arial" w:eastAsia="Times New Roman" w:hAnsi="Arial" w:cs="Arial"/>
                <w:color w:val="000000"/>
                <w:sz w:val="20"/>
                <w:szCs w:val="20"/>
              </w:rPr>
              <w:t>5</w:t>
            </w:r>
          </w:p>
        </w:tc>
        <w:tc>
          <w:tcPr>
            <w:tcW w:w="1847" w:type="dxa"/>
            <w:tcBorders>
              <w:top w:val="nil"/>
              <w:left w:val="nil"/>
              <w:bottom w:val="single" w:sz="8" w:space="0" w:color="auto"/>
              <w:right w:val="single" w:sz="8" w:space="0" w:color="auto"/>
            </w:tcBorders>
            <w:shd w:val="clear" w:color="auto" w:fill="auto"/>
            <w:noWrap/>
            <w:vAlign w:val="center"/>
            <w:hideMark/>
          </w:tcPr>
          <w:p w14:paraId="549AA22B"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4B4C1C18"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 </w:t>
            </w:r>
          </w:p>
        </w:tc>
        <w:tc>
          <w:tcPr>
            <w:tcW w:w="1539" w:type="dxa"/>
            <w:tcBorders>
              <w:top w:val="nil"/>
              <w:left w:val="nil"/>
              <w:bottom w:val="single" w:sz="8" w:space="0" w:color="auto"/>
              <w:right w:val="single" w:sz="8" w:space="0" w:color="auto"/>
            </w:tcBorders>
            <w:shd w:val="clear" w:color="auto" w:fill="auto"/>
            <w:noWrap/>
            <w:vAlign w:val="center"/>
            <w:hideMark/>
          </w:tcPr>
          <w:p w14:paraId="41DEA1B4"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 </w:t>
            </w:r>
          </w:p>
        </w:tc>
        <w:tc>
          <w:tcPr>
            <w:tcW w:w="2401" w:type="dxa"/>
            <w:tcBorders>
              <w:top w:val="nil"/>
              <w:left w:val="nil"/>
              <w:bottom w:val="single" w:sz="8" w:space="0" w:color="auto"/>
              <w:right w:val="single" w:sz="8" w:space="0" w:color="auto"/>
            </w:tcBorders>
            <w:shd w:val="clear" w:color="auto" w:fill="auto"/>
            <w:noWrap/>
            <w:vAlign w:val="bottom"/>
            <w:hideMark/>
          </w:tcPr>
          <w:p w14:paraId="14EE6031" w14:textId="77777777" w:rsidR="00A81244" w:rsidRPr="00A81244" w:rsidRDefault="00A81244" w:rsidP="00A81244">
            <w:pPr>
              <w:rPr>
                <w:rFonts w:ascii="Calibri" w:eastAsia="Times New Roman" w:hAnsi="Calibri"/>
                <w:color w:val="000000"/>
                <w:sz w:val="22"/>
                <w:szCs w:val="22"/>
              </w:rPr>
            </w:pPr>
            <w:r w:rsidRPr="00A81244">
              <w:rPr>
                <w:rFonts w:ascii="Calibri" w:eastAsia="Times New Roman" w:hAnsi="Calibri"/>
                <w:color w:val="000000"/>
                <w:sz w:val="22"/>
                <w:szCs w:val="22"/>
              </w:rPr>
              <w:t> </w:t>
            </w:r>
          </w:p>
        </w:tc>
        <w:tc>
          <w:tcPr>
            <w:tcW w:w="1108" w:type="dxa"/>
            <w:tcBorders>
              <w:top w:val="nil"/>
              <w:left w:val="nil"/>
              <w:bottom w:val="single" w:sz="8" w:space="0" w:color="auto"/>
              <w:right w:val="single" w:sz="8" w:space="0" w:color="auto"/>
            </w:tcBorders>
            <w:shd w:val="clear" w:color="auto" w:fill="auto"/>
            <w:noWrap/>
            <w:vAlign w:val="center"/>
            <w:hideMark/>
          </w:tcPr>
          <w:p w14:paraId="17ECFD90"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c>
          <w:tcPr>
            <w:tcW w:w="1231" w:type="dxa"/>
            <w:tcBorders>
              <w:top w:val="nil"/>
              <w:left w:val="nil"/>
              <w:bottom w:val="single" w:sz="8" w:space="0" w:color="auto"/>
              <w:right w:val="single" w:sz="8" w:space="0" w:color="auto"/>
            </w:tcBorders>
            <w:shd w:val="clear" w:color="auto" w:fill="auto"/>
            <w:noWrap/>
            <w:vAlign w:val="center"/>
            <w:hideMark/>
          </w:tcPr>
          <w:p w14:paraId="79C834E8" w14:textId="77777777" w:rsidR="00A81244" w:rsidRPr="00A81244" w:rsidRDefault="00A81244" w:rsidP="00A81244">
            <w:pPr>
              <w:rPr>
                <w:rFonts w:ascii="Arial" w:eastAsia="Times New Roman" w:hAnsi="Arial" w:cs="Arial"/>
                <w:color w:val="000000"/>
                <w:sz w:val="20"/>
                <w:szCs w:val="20"/>
              </w:rPr>
            </w:pPr>
            <w:r w:rsidRPr="00A81244">
              <w:rPr>
                <w:rFonts w:ascii="Arial" w:eastAsia="Times New Roman" w:hAnsi="Arial" w:cs="Arial"/>
                <w:color w:val="000000"/>
                <w:sz w:val="20"/>
                <w:szCs w:val="20"/>
              </w:rPr>
              <w:t> </w:t>
            </w:r>
          </w:p>
        </w:tc>
      </w:tr>
      <w:tr w:rsidR="00A81244" w:rsidRPr="00A81244" w14:paraId="23E8ACDE" w14:textId="77777777" w:rsidTr="00A81244">
        <w:trPr>
          <w:trHeight w:val="279"/>
        </w:trPr>
        <w:tc>
          <w:tcPr>
            <w:tcW w:w="277" w:type="dxa"/>
            <w:tcBorders>
              <w:top w:val="nil"/>
              <w:left w:val="nil"/>
              <w:bottom w:val="nil"/>
              <w:right w:val="nil"/>
            </w:tcBorders>
            <w:shd w:val="clear" w:color="auto" w:fill="auto"/>
            <w:noWrap/>
            <w:vAlign w:val="bottom"/>
            <w:hideMark/>
          </w:tcPr>
          <w:p w14:paraId="49DEBD89" w14:textId="77777777" w:rsidR="00A81244" w:rsidRPr="00A81244" w:rsidRDefault="00A81244" w:rsidP="00A81244">
            <w:pPr>
              <w:rPr>
                <w:rFonts w:ascii="Arial" w:eastAsia="Times New Roman" w:hAnsi="Arial" w:cs="Arial"/>
                <w:color w:val="000000"/>
                <w:sz w:val="20"/>
                <w:szCs w:val="20"/>
              </w:rPr>
            </w:pPr>
          </w:p>
        </w:tc>
        <w:tc>
          <w:tcPr>
            <w:tcW w:w="1847" w:type="dxa"/>
            <w:tcBorders>
              <w:top w:val="nil"/>
              <w:left w:val="nil"/>
              <w:bottom w:val="nil"/>
              <w:right w:val="nil"/>
            </w:tcBorders>
            <w:shd w:val="clear" w:color="auto" w:fill="auto"/>
            <w:noWrap/>
            <w:vAlign w:val="bottom"/>
            <w:hideMark/>
          </w:tcPr>
          <w:p w14:paraId="011A1A93" w14:textId="77777777" w:rsidR="00A81244" w:rsidRPr="00A81244" w:rsidRDefault="00A81244" w:rsidP="00A81244">
            <w:pPr>
              <w:rPr>
                <w:rFonts w:eastAsia="Times New Roman"/>
                <w:sz w:val="20"/>
                <w:szCs w:val="20"/>
              </w:rPr>
            </w:pPr>
          </w:p>
        </w:tc>
        <w:tc>
          <w:tcPr>
            <w:tcW w:w="1539" w:type="dxa"/>
            <w:tcBorders>
              <w:top w:val="nil"/>
              <w:left w:val="nil"/>
              <w:bottom w:val="nil"/>
              <w:right w:val="nil"/>
            </w:tcBorders>
            <w:shd w:val="clear" w:color="auto" w:fill="auto"/>
            <w:noWrap/>
            <w:vAlign w:val="bottom"/>
            <w:hideMark/>
          </w:tcPr>
          <w:p w14:paraId="617A18CC" w14:textId="77777777" w:rsidR="00A81244" w:rsidRPr="00A81244" w:rsidRDefault="00A81244" w:rsidP="00A81244">
            <w:pPr>
              <w:rPr>
                <w:rFonts w:eastAsia="Times New Roman"/>
                <w:sz w:val="20"/>
                <w:szCs w:val="20"/>
              </w:rPr>
            </w:pPr>
          </w:p>
        </w:tc>
        <w:tc>
          <w:tcPr>
            <w:tcW w:w="1539" w:type="dxa"/>
            <w:tcBorders>
              <w:top w:val="nil"/>
              <w:left w:val="nil"/>
              <w:bottom w:val="nil"/>
              <w:right w:val="nil"/>
            </w:tcBorders>
            <w:shd w:val="clear" w:color="auto" w:fill="auto"/>
            <w:noWrap/>
            <w:vAlign w:val="bottom"/>
            <w:hideMark/>
          </w:tcPr>
          <w:p w14:paraId="24162813" w14:textId="77777777" w:rsidR="00A81244" w:rsidRPr="00A81244" w:rsidRDefault="00A81244" w:rsidP="00A81244">
            <w:pPr>
              <w:rPr>
                <w:rFonts w:ascii="Arial" w:eastAsia="Times New Roman" w:hAnsi="Arial" w:cs="Arial"/>
                <w:b/>
                <w:bCs/>
                <w:color w:val="000000"/>
                <w:sz w:val="20"/>
                <w:szCs w:val="20"/>
              </w:rPr>
            </w:pPr>
            <w:r w:rsidRPr="00A81244">
              <w:rPr>
                <w:rFonts w:ascii="Arial" w:eastAsia="Times New Roman" w:hAnsi="Arial" w:cs="Arial"/>
                <w:b/>
                <w:bCs/>
                <w:color w:val="000000"/>
                <w:sz w:val="20"/>
                <w:szCs w:val="20"/>
              </w:rPr>
              <w:t>Total cost:</w:t>
            </w:r>
          </w:p>
        </w:tc>
        <w:tc>
          <w:tcPr>
            <w:tcW w:w="2401" w:type="dxa"/>
            <w:tcBorders>
              <w:top w:val="nil"/>
              <w:left w:val="nil"/>
              <w:bottom w:val="nil"/>
              <w:right w:val="nil"/>
            </w:tcBorders>
            <w:shd w:val="clear" w:color="auto" w:fill="auto"/>
            <w:noWrap/>
            <w:vAlign w:val="bottom"/>
            <w:hideMark/>
          </w:tcPr>
          <w:p w14:paraId="010C174E" w14:textId="77777777" w:rsidR="00A81244" w:rsidRPr="00A81244" w:rsidRDefault="00A81244" w:rsidP="00A81244">
            <w:pPr>
              <w:rPr>
                <w:rFonts w:ascii="Arial" w:eastAsia="Times New Roman" w:hAnsi="Arial" w:cs="Arial"/>
                <w:b/>
                <w:bCs/>
                <w:color w:val="000000"/>
                <w:sz w:val="20"/>
                <w:szCs w:val="20"/>
              </w:rPr>
            </w:pPr>
          </w:p>
        </w:tc>
        <w:tc>
          <w:tcPr>
            <w:tcW w:w="1108" w:type="dxa"/>
            <w:tcBorders>
              <w:top w:val="nil"/>
              <w:left w:val="nil"/>
              <w:bottom w:val="nil"/>
              <w:right w:val="nil"/>
            </w:tcBorders>
            <w:shd w:val="clear" w:color="auto" w:fill="auto"/>
            <w:noWrap/>
            <w:vAlign w:val="bottom"/>
            <w:hideMark/>
          </w:tcPr>
          <w:p w14:paraId="47E6B9DE" w14:textId="77777777" w:rsidR="00A81244" w:rsidRPr="00A81244" w:rsidRDefault="00A81244" w:rsidP="00A81244">
            <w:pPr>
              <w:rPr>
                <w:rFonts w:eastAsia="Times New Roman"/>
                <w:sz w:val="20"/>
                <w:szCs w:val="20"/>
              </w:rPr>
            </w:pPr>
          </w:p>
        </w:tc>
        <w:tc>
          <w:tcPr>
            <w:tcW w:w="1231" w:type="dxa"/>
            <w:tcBorders>
              <w:top w:val="nil"/>
              <w:left w:val="nil"/>
              <w:bottom w:val="nil"/>
              <w:right w:val="nil"/>
            </w:tcBorders>
            <w:shd w:val="clear" w:color="auto" w:fill="auto"/>
            <w:noWrap/>
            <w:vAlign w:val="bottom"/>
            <w:hideMark/>
          </w:tcPr>
          <w:p w14:paraId="79754BC5" w14:textId="77777777" w:rsidR="00A81244" w:rsidRPr="00A81244" w:rsidRDefault="00A81244" w:rsidP="00A81244">
            <w:pPr>
              <w:rPr>
                <w:rFonts w:eastAsia="Times New Roman"/>
                <w:sz w:val="20"/>
                <w:szCs w:val="20"/>
              </w:rPr>
            </w:pPr>
          </w:p>
        </w:tc>
      </w:tr>
    </w:tbl>
    <w:p w14:paraId="65E9AABD" w14:textId="3F181D98" w:rsidR="00A81244" w:rsidRDefault="00A81244"/>
    <w:p w14:paraId="1B341C59" w14:textId="39304ACA" w:rsidR="00A81244" w:rsidRDefault="00A81244"/>
    <w:p w14:paraId="21DD70CA" w14:textId="77777777" w:rsidR="00A81244" w:rsidRDefault="00A81244" w:rsidP="00A81244">
      <w:pPr>
        <w:pStyle w:val="NormalWeb"/>
        <w:spacing w:line="360" w:lineRule="auto"/>
        <w:jc w:val="both"/>
        <w:rPr>
          <w:rFonts w:ascii="Arial" w:hAnsi="Arial" w:cs="Arial"/>
          <w:sz w:val="20"/>
          <w:szCs w:val="20"/>
        </w:rPr>
      </w:pPr>
      <w:r w:rsidRPr="007770C0">
        <w:rPr>
          <w:rFonts w:ascii="Arial" w:hAnsi="Arial" w:cs="Arial"/>
          <w:sz w:val="20"/>
          <w:szCs w:val="20"/>
        </w:rPr>
        <w:t xml:space="preserve">Signature of the </w:t>
      </w:r>
      <w:proofErr w:type="gramStart"/>
      <w:r w:rsidRPr="007770C0">
        <w:rPr>
          <w:rFonts w:ascii="Arial" w:hAnsi="Arial" w:cs="Arial"/>
          <w:sz w:val="20"/>
          <w:szCs w:val="20"/>
        </w:rPr>
        <w:t>bidder(</w:t>
      </w:r>
      <w:proofErr w:type="gramEnd"/>
      <w:r w:rsidRPr="007770C0">
        <w:rPr>
          <w:rFonts w:ascii="Arial" w:hAnsi="Arial" w:cs="Arial"/>
          <w:sz w:val="20"/>
          <w:szCs w:val="20"/>
        </w:rPr>
        <w:t xml:space="preserve">Stamp)                    ________________________________ </w:t>
      </w:r>
    </w:p>
    <w:p w14:paraId="0CB1F3AA" w14:textId="77777777" w:rsidR="00A81244" w:rsidRDefault="00A81244"/>
    <w:sectPr w:rsidR="00A81244">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40303" w14:textId="77777777" w:rsidR="00BA3442" w:rsidRDefault="00BA3442" w:rsidP="000B57CF">
      <w:r>
        <w:separator/>
      </w:r>
    </w:p>
  </w:endnote>
  <w:endnote w:type="continuationSeparator" w:id="0">
    <w:p w14:paraId="629AA4CB" w14:textId="77777777" w:rsidR="00BA3442" w:rsidRDefault="00BA3442" w:rsidP="000B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A0942" w14:textId="77777777" w:rsidR="00BA3442" w:rsidRDefault="00BA3442" w:rsidP="000B57CF">
      <w:r>
        <w:separator/>
      </w:r>
    </w:p>
  </w:footnote>
  <w:footnote w:type="continuationSeparator" w:id="0">
    <w:p w14:paraId="29178FC7" w14:textId="77777777" w:rsidR="00BA3442" w:rsidRDefault="00BA3442" w:rsidP="000B5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A89CA" w14:textId="3F891C20" w:rsidR="00A81244" w:rsidRDefault="00A81244">
    <w:pPr>
      <w:pStyle w:val="Header"/>
    </w:pPr>
    <w:r w:rsidRPr="00722549">
      <w:rPr>
        <w:b/>
        <w:i/>
        <w:sz w:val="18"/>
        <w:u w:val="single"/>
      </w:rPr>
      <w:t xml:space="preserve">JSC </w:t>
    </w:r>
    <w:proofErr w:type="spellStart"/>
    <w:r w:rsidRPr="00722549">
      <w:rPr>
        <w:b/>
        <w:i/>
        <w:sz w:val="18"/>
        <w:u w:val="single"/>
      </w:rPr>
      <w:t>Hashbank</w:t>
    </w:r>
    <w:proofErr w:type="spellEnd"/>
    <w:r w:rsidRPr="00722549">
      <w:rPr>
        <w:b/>
        <w:i/>
        <w:sz w:val="18"/>
        <w:u w:val="single"/>
      </w:rPr>
      <w:t xml:space="preserve"> RFP</w:t>
    </w:r>
    <w:r>
      <w:rPr>
        <w:b/>
        <w:i/>
        <w:sz w:val="18"/>
        <w:u w:val="single"/>
      </w:rPr>
      <w:t xml:space="preserve">-XDR                    </w:t>
    </w:r>
  </w:p>
  <w:p w14:paraId="1C02357B" w14:textId="77777777" w:rsidR="00A81244" w:rsidRDefault="00A81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C15D6"/>
    <w:multiLevelType w:val="multilevel"/>
    <w:tmpl w:val="B912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8C7752"/>
    <w:multiLevelType w:val="multilevel"/>
    <w:tmpl w:val="86923350"/>
    <w:numStyleLink w:val="Services"/>
  </w:abstractNum>
  <w:abstractNum w:abstractNumId="2" w15:restartNumberingAfterBreak="0">
    <w:nsid w:val="21FA28FA"/>
    <w:multiLevelType w:val="multilevel"/>
    <w:tmpl w:val="570CFC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945703"/>
    <w:multiLevelType w:val="multilevel"/>
    <w:tmpl w:val="86923350"/>
    <w:styleLink w:val="Services"/>
    <w:lvl w:ilvl="0">
      <w:start w:val="1"/>
      <w:numFmt w:val="none"/>
      <w:pStyle w:val="Services-Level1"/>
      <w:lvlText w:val=""/>
      <w:lvlJc w:val="left"/>
      <w:pPr>
        <w:ind w:left="0" w:firstLine="0"/>
      </w:pPr>
      <w:rPr>
        <w:rFonts w:hint="default"/>
      </w:rPr>
    </w:lvl>
    <w:lvl w:ilvl="1">
      <w:start w:val="1"/>
      <w:numFmt w:val="none"/>
      <w:pStyle w:val="Services-Level1-Continue"/>
      <w:lvlText w:val="%1"/>
      <w:lvlJc w:val="left"/>
      <w:pPr>
        <w:ind w:left="0" w:firstLine="0"/>
      </w:pPr>
      <w:rPr>
        <w:rFonts w:hint="default"/>
      </w:rPr>
    </w:lvl>
    <w:lvl w:ilvl="2">
      <w:start w:val="1"/>
      <w:numFmt w:val="none"/>
      <w:pStyle w:val="Services-Level2"/>
      <w:lvlText w:val=""/>
      <w:lvlJc w:val="left"/>
      <w:pPr>
        <w:ind w:left="425" w:firstLine="0"/>
      </w:pPr>
      <w:rPr>
        <w:rFonts w:hint="default"/>
      </w:rPr>
    </w:lvl>
    <w:lvl w:ilvl="3">
      <w:start w:val="1"/>
      <w:numFmt w:val="none"/>
      <w:pStyle w:val="Services-Level2-Continue"/>
      <w:lvlText w:val=""/>
      <w:lvlJc w:val="left"/>
      <w:pPr>
        <w:ind w:left="425" w:firstLine="0"/>
      </w:pPr>
      <w:rPr>
        <w:rFonts w:hint="default"/>
      </w:rPr>
    </w:lvl>
    <w:lvl w:ilvl="4">
      <w:start w:val="1"/>
      <w:numFmt w:val="bullet"/>
      <w:pStyle w:val="Services-Level3"/>
      <w:lvlText w:val=""/>
      <w:lvlJc w:val="left"/>
      <w:pPr>
        <w:ind w:left="992" w:hanging="425"/>
      </w:pPr>
      <w:rPr>
        <w:rFonts w:ascii="Wingdings" w:hAnsi="Wingdings" w:hint="default"/>
        <w:b/>
        <w:i w:val="0"/>
        <w:color w:val="4472C4" w:themeColor="accent1"/>
        <w:position w:val="2"/>
        <w:sz w:val="14"/>
      </w:rPr>
    </w:lvl>
    <w:lvl w:ilvl="5">
      <w:start w:val="1"/>
      <w:numFmt w:val="none"/>
      <w:pStyle w:val="Services-Level3-Continue"/>
      <w:lvlText w:val="%6"/>
      <w:lvlJc w:val="left"/>
      <w:pPr>
        <w:ind w:left="992" w:firstLine="0"/>
      </w:pPr>
      <w:rPr>
        <w:rFonts w:hint="default"/>
      </w:rPr>
    </w:lvl>
    <w:lvl w:ilvl="6">
      <w:start w:val="1"/>
      <w:numFmt w:val="bullet"/>
      <w:pStyle w:val="Services-Level4"/>
      <w:lvlText w:val=""/>
      <w:lvlJc w:val="left"/>
      <w:pPr>
        <w:ind w:left="1559" w:hanging="283"/>
      </w:pPr>
      <w:rPr>
        <w:rFonts w:ascii="Symbol" w:hAnsi="Symbol" w:hint="default"/>
        <w:color w:val="auto"/>
      </w:rPr>
    </w:lvl>
    <w:lvl w:ilvl="7">
      <w:start w:val="1"/>
      <w:numFmt w:val="bullet"/>
      <w:pStyle w:val="Services-Level5"/>
      <w:lvlText w:val=""/>
      <w:lvlJc w:val="left"/>
      <w:pPr>
        <w:ind w:left="2126" w:hanging="283"/>
      </w:pPr>
      <w:rPr>
        <w:rFonts w:ascii="Symbol" w:hAnsi="Symbol" w:hint="default"/>
        <w:color w:val="auto"/>
      </w:rPr>
    </w:lvl>
    <w:lvl w:ilvl="8">
      <w:start w:val="1"/>
      <w:numFmt w:val="bullet"/>
      <w:pStyle w:val="Services-Level6"/>
      <w:lvlText w:val=""/>
      <w:lvlJc w:val="left"/>
      <w:pPr>
        <w:ind w:left="2693" w:hanging="283"/>
      </w:pPr>
      <w:rPr>
        <w:rFonts w:ascii="Symbol" w:hAnsi="Symbol" w:hint="default"/>
        <w:color w:val="auto"/>
      </w:rPr>
    </w:lvl>
  </w:abstractNum>
  <w:abstractNum w:abstractNumId="4" w15:restartNumberingAfterBreak="0">
    <w:nsid w:val="470D7382"/>
    <w:multiLevelType w:val="multilevel"/>
    <w:tmpl w:val="3620EC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F5A"/>
    <w:rsid w:val="000B3B71"/>
    <w:rsid w:val="000B57CF"/>
    <w:rsid w:val="00491C83"/>
    <w:rsid w:val="004A493D"/>
    <w:rsid w:val="00A81244"/>
    <w:rsid w:val="00BA3442"/>
    <w:rsid w:val="00E23DD7"/>
    <w:rsid w:val="00F10917"/>
    <w:rsid w:val="00FA7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306CA"/>
  <w15:chartTrackingRefBased/>
  <w15:docId w15:val="{7D3A6A12-EAB7-4BEB-B6ED-F647AC6B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7CF"/>
    <w:pPr>
      <w:spacing w:after="0" w:line="240" w:lineRule="auto"/>
    </w:pPr>
    <w:rPr>
      <w:rFonts w:ascii="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rvices-Level1">
    <w:name w:val="Services - Level 1"/>
    <w:basedOn w:val="Normal"/>
    <w:uiPriority w:val="3"/>
    <w:qFormat/>
    <w:rsid w:val="000B57CF"/>
    <w:pPr>
      <w:numPr>
        <w:numId w:val="2"/>
      </w:numPr>
      <w:spacing w:before="320" w:after="120"/>
    </w:pPr>
    <w:rPr>
      <w:rFonts w:asciiTheme="minorHAnsi" w:eastAsiaTheme="majorEastAsia" w:hAnsiTheme="minorHAnsi" w:cstheme="majorHAnsi"/>
      <w:b/>
      <w:color w:val="44546A" w:themeColor="text2"/>
      <w:sz w:val="26"/>
      <w:u w:val="single" w:color="8EAADB" w:themeColor="accent1" w:themeTint="99"/>
      <w:lang w:val="en-CA" w:bidi="en-US"/>
    </w:rPr>
  </w:style>
  <w:style w:type="paragraph" w:customStyle="1" w:styleId="Services-Level1-Continue">
    <w:name w:val="Services - Level 1 - Continue"/>
    <w:basedOn w:val="Normal"/>
    <w:uiPriority w:val="3"/>
    <w:qFormat/>
    <w:rsid w:val="000B57CF"/>
    <w:pPr>
      <w:numPr>
        <w:ilvl w:val="1"/>
        <w:numId w:val="2"/>
      </w:numPr>
      <w:spacing w:before="120"/>
    </w:pPr>
    <w:rPr>
      <w:rFonts w:asciiTheme="minorHAnsi" w:eastAsiaTheme="majorEastAsia" w:hAnsiTheme="minorHAnsi" w:cstheme="minorHAnsi"/>
      <w:color w:val="ED7D31" w:themeColor="accent2"/>
      <w:szCs w:val="22"/>
      <w:lang w:val="en-CA" w:bidi="en-US"/>
    </w:rPr>
  </w:style>
  <w:style w:type="paragraph" w:customStyle="1" w:styleId="Services-Level2">
    <w:name w:val="Services - Level 2"/>
    <w:basedOn w:val="Normal"/>
    <w:uiPriority w:val="3"/>
    <w:qFormat/>
    <w:rsid w:val="000B57CF"/>
    <w:pPr>
      <w:numPr>
        <w:ilvl w:val="2"/>
        <w:numId w:val="2"/>
      </w:numPr>
      <w:spacing w:before="360" w:after="120"/>
      <w:outlineLvl w:val="1"/>
    </w:pPr>
    <w:rPr>
      <w:rFonts w:asciiTheme="minorHAnsi" w:eastAsiaTheme="majorEastAsia" w:hAnsiTheme="minorHAnsi" w:cstheme="minorHAnsi"/>
      <w:b/>
      <w:color w:val="4472C4" w:themeColor="accent1"/>
      <w:szCs w:val="20"/>
      <w:lang w:val="en-CA" w:bidi="en-US"/>
    </w:rPr>
  </w:style>
  <w:style w:type="paragraph" w:customStyle="1" w:styleId="Services-Level2-Continue">
    <w:name w:val="Services - Level 2 - Continue"/>
    <w:basedOn w:val="Services-Level2"/>
    <w:uiPriority w:val="3"/>
    <w:qFormat/>
    <w:rsid w:val="000B57CF"/>
    <w:pPr>
      <w:numPr>
        <w:ilvl w:val="3"/>
      </w:numPr>
      <w:spacing w:before="120"/>
      <w:outlineLvl w:val="9"/>
    </w:pPr>
    <w:rPr>
      <w:b w:val="0"/>
      <w:color w:val="ED7D31" w:themeColor="accent2"/>
    </w:rPr>
  </w:style>
  <w:style w:type="paragraph" w:customStyle="1" w:styleId="Services-Level3">
    <w:name w:val="Services - Level 3"/>
    <w:basedOn w:val="Normal"/>
    <w:uiPriority w:val="3"/>
    <w:qFormat/>
    <w:rsid w:val="000B57CF"/>
    <w:pPr>
      <w:numPr>
        <w:ilvl w:val="4"/>
        <w:numId w:val="2"/>
      </w:numPr>
      <w:spacing w:before="200" w:after="120"/>
      <w:outlineLvl w:val="2"/>
    </w:pPr>
    <w:rPr>
      <w:rFonts w:asciiTheme="minorHAnsi" w:eastAsiaTheme="majorEastAsia" w:hAnsiTheme="minorHAnsi" w:cstheme="minorHAnsi"/>
      <w:color w:val="ED7D31" w:themeColor="accent2"/>
      <w:szCs w:val="20"/>
      <w:lang w:val="en-CA" w:bidi="en-US"/>
    </w:rPr>
  </w:style>
  <w:style w:type="paragraph" w:customStyle="1" w:styleId="Services-Level3-Continue">
    <w:name w:val="Services - Level 3 - Continue"/>
    <w:basedOn w:val="Services-Level3"/>
    <w:uiPriority w:val="3"/>
    <w:qFormat/>
    <w:rsid w:val="000B57CF"/>
    <w:pPr>
      <w:numPr>
        <w:ilvl w:val="5"/>
      </w:numPr>
    </w:pPr>
  </w:style>
  <w:style w:type="numbering" w:customStyle="1" w:styleId="Services">
    <w:name w:val="Services"/>
    <w:uiPriority w:val="99"/>
    <w:rsid w:val="000B57CF"/>
    <w:pPr>
      <w:numPr>
        <w:numId w:val="1"/>
      </w:numPr>
    </w:pPr>
  </w:style>
  <w:style w:type="paragraph" w:customStyle="1" w:styleId="Services-Level4">
    <w:name w:val="Services - Level 4"/>
    <w:basedOn w:val="Services-Level3-Continue"/>
    <w:uiPriority w:val="3"/>
    <w:rsid w:val="000B57CF"/>
    <w:pPr>
      <w:numPr>
        <w:ilvl w:val="6"/>
      </w:numPr>
      <w:spacing w:before="120"/>
    </w:pPr>
    <w:rPr>
      <w:szCs w:val="18"/>
    </w:rPr>
  </w:style>
  <w:style w:type="paragraph" w:customStyle="1" w:styleId="Services-Level5">
    <w:name w:val="Services - Level 5"/>
    <w:basedOn w:val="Services-Level3-Continue"/>
    <w:uiPriority w:val="3"/>
    <w:rsid w:val="000B57CF"/>
    <w:pPr>
      <w:numPr>
        <w:ilvl w:val="7"/>
      </w:numPr>
      <w:spacing w:before="120" w:after="60"/>
    </w:pPr>
    <w:rPr>
      <w:sz w:val="18"/>
    </w:rPr>
  </w:style>
  <w:style w:type="paragraph" w:customStyle="1" w:styleId="Services-Level6">
    <w:name w:val="Services - Level 6"/>
    <w:basedOn w:val="Services-Level5"/>
    <w:uiPriority w:val="3"/>
    <w:rsid w:val="000B57CF"/>
    <w:pPr>
      <w:numPr>
        <w:ilvl w:val="8"/>
      </w:numPr>
    </w:pPr>
  </w:style>
  <w:style w:type="table" w:styleId="TableGrid">
    <w:name w:val="Table Grid"/>
    <w:basedOn w:val="TableNormal"/>
    <w:uiPriority w:val="39"/>
    <w:rsid w:val="000B57C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B57CF"/>
    <w:pPr>
      <w:tabs>
        <w:tab w:val="center" w:pos="4680"/>
        <w:tab w:val="right" w:pos="9360"/>
      </w:tabs>
    </w:pPr>
  </w:style>
  <w:style w:type="character" w:customStyle="1" w:styleId="HeaderChar">
    <w:name w:val="Header Char"/>
    <w:basedOn w:val="DefaultParagraphFont"/>
    <w:link w:val="Header"/>
    <w:uiPriority w:val="99"/>
    <w:rsid w:val="000B57CF"/>
    <w:rPr>
      <w:rFonts w:ascii="Times New Roman" w:hAnsi="Times New Roman" w:cs="Times New Roman"/>
      <w:kern w:val="0"/>
      <w:sz w:val="24"/>
      <w:szCs w:val="24"/>
      <w14:ligatures w14:val="none"/>
    </w:rPr>
  </w:style>
  <w:style w:type="paragraph" w:styleId="Footer">
    <w:name w:val="footer"/>
    <w:basedOn w:val="Normal"/>
    <w:link w:val="FooterChar"/>
    <w:uiPriority w:val="99"/>
    <w:unhideWhenUsed/>
    <w:rsid w:val="000B57CF"/>
    <w:pPr>
      <w:tabs>
        <w:tab w:val="center" w:pos="4680"/>
        <w:tab w:val="right" w:pos="9360"/>
      </w:tabs>
    </w:pPr>
  </w:style>
  <w:style w:type="character" w:customStyle="1" w:styleId="FooterChar">
    <w:name w:val="Footer Char"/>
    <w:basedOn w:val="DefaultParagraphFont"/>
    <w:link w:val="Footer"/>
    <w:uiPriority w:val="99"/>
    <w:rsid w:val="000B57CF"/>
    <w:rPr>
      <w:rFonts w:ascii="Times New Roman" w:hAnsi="Times New Roman" w:cs="Times New Roman"/>
      <w:kern w:val="0"/>
      <w:sz w:val="24"/>
      <w:szCs w:val="24"/>
      <w14:ligatures w14:val="none"/>
    </w:rPr>
  </w:style>
  <w:style w:type="paragraph" w:styleId="NormalWeb">
    <w:name w:val="Normal (Web)"/>
    <w:basedOn w:val="Normal"/>
    <w:uiPriority w:val="99"/>
    <w:unhideWhenUsed/>
    <w:rsid w:val="00A81244"/>
    <w:pPr>
      <w:spacing w:before="100" w:beforeAutospacing="1" w:after="100" w:afterAutospacing="1"/>
    </w:pPr>
    <w:rPr>
      <w:rFonts w:eastAsia="Times New Roman"/>
    </w:rPr>
  </w:style>
  <w:style w:type="character" w:styleId="Hyperlink">
    <w:name w:val="Hyperlink"/>
    <w:basedOn w:val="DefaultParagraphFont"/>
    <w:uiPriority w:val="99"/>
    <w:unhideWhenUsed/>
    <w:rsid w:val="00A81244"/>
    <w:rPr>
      <w:color w:val="0563C1" w:themeColor="hyperlink"/>
      <w:u w:val="single"/>
    </w:rPr>
  </w:style>
  <w:style w:type="character" w:styleId="UnresolvedMention">
    <w:name w:val="Unresolved Mention"/>
    <w:basedOn w:val="DefaultParagraphFont"/>
    <w:uiPriority w:val="99"/>
    <w:semiHidden/>
    <w:unhideWhenUsed/>
    <w:rsid w:val="00A81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303251">
      <w:bodyDiv w:val="1"/>
      <w:marLeft w:val="0"/>
      <w:marRight w:val="0"/>
      <w:marTop w:val="0"/>
      <w:marBottom w:val="0"/>
      <w:divBdr>
        <w:top w:val="none" w:sz="0" w:space="0" w:color="auto"/>
        <w:left w:val="none" w:sz="0" w:space="0" w:color="auto"/>
        <w:bottom w:val="none" w:sz="0" w:space="0" w:color="auto"/>
        <w:right w:val="none" w:sz="0" w:space="0" w:color="auto"/>
      </w:divBdr>
    </w:div>
    <w:div w:id="151167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akli.dalakishvili@hashbank.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ana.kadaria@hashbank.g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attack.mitre.org/matrices/mobile/" TargetMode="External"/><Relationship Id="rId4" Type="http://schemas.openxmlformats.org/officeDocument/2006/relationships/webSettings" Target="webSettings.xml"/><Relationship Id="rId9" Type="http://schemas.openxmlformats.org/officeDocument/2006/relationships/hyperlink" Target="https://www.crowdstrike.com/cybersecurity-101/malware/mobile-malw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2336</Words>
  <Characters>13320</Characters>
  <Application>Microsoft Office Word</Application>
  <DocSecurity>0</DocSecurity>
  <Lines>111</Lines>
  <Paragraphs>31</Paragraphs>
  <ScaleCrop>false</ScaleCrop>
  <Company/>
  <LinksUpToDate>false</LinksUpToDate>
  <CharactersWithSpaces>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Dalakishvili</dc:creator>
  <cp:keywords/>
  <dc:description/>
  <cp:lastModifiedBy>Diana Kadaria</cp:lastModifiedBy>
  <cp:revision>3</cp:revision>
  <dcterms:created xsi:type="dcterms:W3CDTF">2025-06-09T09:37:00Z</dcterms:created>
  <dcterms:modified xsi:type="dcterms:W3CDTF">2025-06-09T09:41:00Z</dcterms:modified>
</cp:coreProperties>
</file>