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F1FA" w14:textId="24F9C33C" w:rsidR="00A77EEC" w:rsidRDefault="00C34C18" w:rsidP="00A77EEC">
      <w:pPr>
        <w:rPr>
          <w:rFonts w:eastAsia="Calibri" w:cs="Arial"/>
          <w:lang w:val="en-US"/>
        </w:rPr>
      </w:pPr>
      <w:r>
        <w:rPr>
          <w:rStyle w:val="PageNumber"/>
          <w:lang w:val="en-GB"/>
        </w:rPr>
        <w:t xml:space="preserve">Annex </w:t>
      </w:r>
      <w:r w:rsidR="00CB701E">
        <w:rPr>
          <w:rStyle w:val="PageNumber"/>
          <w:rFonts w:asciiTheme="minorHAnsi" w:hAnsiTheme="minorHAnsi"/>
          <w:lang w:val="ka-GE"/>
        </w:rPr>
        <w:t>3</w:t>
      </w:r>
      <w:r>
        <w:rPr>
          <w:rStyle w:val="PageNumber"/>
          <w:lang w:val="en-GB"/>
        </w:rPr>
        <w:t xml:space="preserve">: </w:t>
      </w:r>
      <w:r w:rsidRPr="00C34C18">
        <w:rPr>
          <w:rFonts w:eastAsia="Calibri" w:cs="Arial"/>
          <w:lang w:val="en-US"/>
        </w:rPr>
        <w:t>Template for price proposal in accordance with the list of analysis</w:t>
      </w:r>
      <w:r>
        <w:rPr>
          <w:rFonts w:eastAsia="Calibri" w:cs="Arial"/>
          <w:lang w:val="en-US"/>
        </w:rPr>
        <w:t xml:space="preserve"> </w:t>
      </w:r>
    </w:p>
    <w:p w14:paraId="41FD87E2" w14:textId="77777777" w:rsidR="00C34C18" w:rsidRDefault="00C34C18" w:rsidP="00A77EEC">
      <w:pPr>
        <w:rPr>
          <w:rFonts w:eastAsia="Calibri" w:cs="Arial"/>
          <w:lang w:val="en-US"/>
        </w:rPr>
      </w:pPr>
    </w:p>
    <w:tbl>
      <w:tblPr>
        <w:tblW w:w="13181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250"/>
        <w:gridCol w:w="1255"/>
        <w:gridCol w:w="1984"/>
        <w:gridCol w:w="1984"/>
      </w:tblGrid>
      <w:tr w:rsidR="00C34C18" w:rsidRPr="00C34C18" w14:paraId="5564521D" w14:textId="05EADD8A" w:rsidTr="00C34C18">
        <w:trPr>
          <w:trHeight w:val="283"/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68ED0644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4AF9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b/>
                <w:bCs/>
                <w:color w:val="000000"/>
                <w:lang w:val="en-GB"/>
              </w:rPr>
              <w:t>Analyses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1E5B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b/>
                <w:bCs/>
                <w:color w:val="000000"/>
                <w:lang w:val="en-GB"/>
              </w:rPr>
              <w:t>Sample size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9A73F3E" w14:textId="29FE2FB8" w:rsidR="00C34C18" w:rsidRPr="00C34C18" w:rsidRDefault="00C34C18" w:rsidP="00C34C18">
            <w:pPr>
              <w:jc w:val="center"/>
              <w:rPr>
                <w:rFonts w:eastAsia="Calibri" w:cs="Arial"/>
                <w:b/>
                <w:bCs/>
                <w:color w:val="000000"/>
                <w:lang w:val="en-GB"/>
              </w:rPr>
            </w:pPr>
            <w:r>
              <w:rPr>
                <w:rFonts w:eastAsia="Calibri" w:cs="Arial"/>
                <w:b/>
                <w:bCs/>
                <w:color w:val="000000"/>
                <w:lang w:val="en-GB"/>
              </w:rPr>
              <w:t>P</w:t>
            </w:r>
            <w:r>
              <w:rPr>
                <w:rFonts w:eastAsia="Calibri" w:cs="Arial"/>
                <w:b/>
                <w:bCs/>
                <w:color w:val="000000"/>
              </w:rPr>
              <w:t>rice per sample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E41A91D" w14:textId="6F6EAACA" w:rsidR="00C34C18" w:rsidRPr="00C34C18" w:rsidRDefault="00C34C18" w:rsidP="00C34C18">
            <w:pPr>
              <w:jc w:val="center"/>
              <w:rPr>
                <w:rFonts w:eastAsia="Calibri" w:cs="Arial"/>
                <w:b/>
                <w:bCs/>
                <w:color w:val="000000"/>
                <w:lang w:val="en-GB"/>
              </w:rPr>
            </w:pPr>
            <w:r>
              <w:rPr>
                <w:rFonts w:eastAsia="Calibri" w:cs="Arial"/>
                <w:b/>
                <w:bCs/>
                <w:color w:val="000000"/>
                <w:lang w:val="en-GB"/>
              </w:rPr>
              <w:t xml:space="preserve">Total </w:t>
            </w:r>
            <w:r w:rsidR="00217A51">
              <w:rPr>
                <w:rFonts w:eastAsia="Calibri" w:cs="Arial"/>
                <w:b/>
                <w:bCs/>
                <w:color w:val="000000"/>
                <w:lang w:val="en-GB"/>
              </w:rPr>
              <w:t xml:space="preserve">estimated </w:t>
            </w:r>
          </w:p>
        </w:tc>
      </w:tr>
      <w:tr w:rsidR="00C34C18" w:rsidRPr="00C34C18" w14:paraId="4E1723D1" w14:textId="580176EE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F0033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59F3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pH</w:t>
            </w:r>
            <w:r w:rsidRPr="00C34C18">
              <w:rPr>
                <w:rFonts w:eastAsia="Calibri" w:cs="Arial"/>
                <w:lang w:val="en-GB"/>
              </w:rPr>
              <w:t>-value W</w:t>
            </w:r>
            <w:r w:rsidRPr="00C34C18">
              <w:rPr>
                <w:rFonts w:eastAsia="Calibri" w:cs="Arial"/>
                <w:color w:val="000000"/>
                <w:lang w:val="en-GB"/>
              </w:rPr>
              <w:t>ater</w:t>
            </w:r>
            <w:r w:rsidRPr="00C34C18">
              <w:rPr>
                <w:rFonts w:eastAsia="Calibri" w:cs="Arial"/>
                <w:lang w:val="en-GB"/>
              </w:rPr>
              <w:t xml:space="preserve"> (pH water)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ACAC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6C9FC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C678B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404BF45C" w14:textId="675D2C97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5E0E4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6E1D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pH</w:t>
            </w:r>
            <w:r w:rsidRPr="00C34C18">
              <w:rPr>
                <w:rFonts w:eastAsia="Calibri" w:cs="Arial"/>
                <w:lang w:val="en-GB"/>
              </w:rPr>
              <w:t>-value</w:t>
            </w:r>
            <w:r w:rsidRPr="00C34C18">
              <w:rPr>
                <w:rFonts w:eastAsia="Calibri" w:cs="Arial"/>
                <w:color w:val="000000"/>
                <w:lang w:val="en-GB"/>
              </w:rPr>
              <w:t xml:space="preserve"> </w:t>
            </w:r>
            <w:r w:rsidRPr="00C34C18">
              <w:rPr>
                <w:rFonts w:eastAsia="Calibri" w:cs="Arial"/>
                <w:lang w:val="en-GB"/>
              </w:rPr>
              <w:t xml:space="preserve">Potassium chloride (pH </w:t>
            </w:r>
            <w:r w:rsidRPr="00C34C18">
              <w:rPr>
                <w:rFonts w:eastAsia="Calibri" w:cs="Arial"/>
                <w:color w:val="000000"/>
                <w:lang w:val="en-GB"/>
              </w:rPr>
              <w:t>KCl</w:t>
            </w:r>
            <w:r w:rsidRPr="00C34C18">
              <w:rPr>
                <w:rFonts w:eastAsia="Calibri" w:cs="Arial"/>
                <w:lang w:val="en-GB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9F57F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810A4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488AD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77EAB09C" w14:textId="037C3D4D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A4490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fr-FR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2BAC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fr-FR"/>
              </w:rPr>
              <w:t xml:space="preserve">Total Carbon content (Ctot), </w:t>
            </w:r>
            <w:r w:rsidRPr="00C34C18">
              <w:rPr>
                <w:rFonts w:eastAsia="Calibri" w:cs="Arial"/>
                <w:lang w:val="en-GB"/>
              </w:rPr>
              <w:t xml:space="preserve">Analysis via Auto-Analyzer </w:t>
            </w:r>
            <w:r w:rsidRPr="00C34C18">
              <w:rPr>
                <w:rFonts w:eastAsia="Calibri" w:cs="Arial"/>
                <w:u w:val="single"/>
                <w:lang w:val="en-GB"/>
              </w:rPr>
              <w:t>preferred</w:t>
            </w:r>
            <w:r w:rsidRPr="00C34C18">
              <w:rPr>
                <w:rFonts w:eastAsia="Calibri" w:cs="Arial"/>
                <w:b/>
                <w:bCs/>
                <w:u w:val="single"/>
                <w:lang w:val="en-GB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136B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327C1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86E8A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44826F34" w14:textId="05C58D7C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63F1F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fr-FR"/>
              </w:rPr>
              <w:t>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031DA" w14:textId="77777777" w:rsidR="00C34C18" w:rsidRPr="00C34C18" w:rsidRDefault="00C34C18" w:rsidP="00C34C18">
            <w:pPr>
              <w:rPr>
                <w:rFonts w:eastAsia="Calibri" w:cs="Arial"/>
                <w:lang w:val="fr-FR"/>
              </w:rPr>
            </w:pPr>
            <w:r w:rsidRPr="00C34C18">
              <w:rPr>
                <w:rFonts w:eastAsia="Calibri" w:cs="Arial"/>
                <w:lang w:val="fr-FR"/>
              </w:rPr>
              <w:t xml:space="preserve">Total carbonate content (CaCO3, </w:t>
            </w:r>
            <w:r w:rsidRPr="00C34C18">
              <w:rPr>
                <w:rFonts w:eastAsia="Calibri" w:cs="Arial"/>
                <w:color w:val="000000"/>
                <w:lang w:val="fr-FR"/>
              </w:rPr>
              <w:t>Ccarb</w:t>
            </w:r>
            <w:r w:rsidRPr="00C34C18">
              <w:rPr>
                <w:rFonts w:eastAsia="Calibri" w:cs="Arial"/>
                <w:lang w:val="fr-FR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2467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24DEB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1905D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1DBAAA24" w14:textId="309BE9BF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0EFB6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0071" w14:textId="77777777" w:rsidR="00C34C18" w:rsidRPr="00C34C18" w:rsidRDefault="00C34C18" w:rsidP="00C34C18">
            <w:pPr>
              <w:rPr>
                <w:rFonts w:eastAsia="Calibri" w:cs="Arial"/>
                <w:i/>
                <w:iCs/>
                <w:lang w:val="en-GB"/>
              </w:rPr>
            </w:pPr>
            <w:r w:rsidRPr="00C34C18">
              <w:rPr>
                <w:rFonts w:eastAsia="Calibri" w:cs="Arial"/>
                <w:i/>
                <w:iCs/>
                <w:lang w:val="en-GB"/>
              </w:rPr>
              <w:t xml:space="preserve">Results from 3-4 =&gt; </w:t>
            </w:r>
          </w:p>
          <w:p w14:paraId="0802DB67" w14:textId="77777777" w:rsidR="00C34C18" w:rsidRPr="00C34C18" w:rsidRDefault="00C34C18" w:rsidP="00C34C18">
            <w:pPr>
              <w:rPr>
                <w:rFonts w:eastAsia="Calibri" w:cs="Arial"/>
                <w:i/>
                <w:iCs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Total organic carbon content (</w:t>
            </w:r>
            <w:r w:rsidRPr="00C34C18">
              <w:rPr>
                <w:rFonts w:eastAsia="Calibri" w:cs="Arial"/>
                <w:color w:val="000000"/>
                <w:lang w:val="en-GB"/>
              </w:rPr>
              <w:t>Corg</w:t>
            </w:r>
            <w:r w:rsidRPr="00C34C18">
              <w:rPr>
                <w:rFonts w:eastAsia="Calibri" w:cs="Arial"/>
                <w:lang w:val="en-GB"/>
              </w:rPr>
              <w:t xml:space="preserve"> = Ctot-Ccarb)</w:t>
            </w:r>
            <w:r w:rsidRPr="00C34C18">
              <w:rPr>
                <w:rFonts w:eastAsia="Calibri" w:cs="Arial"/>
                <w:i/>
                <w:iCs/>
                <w:lang w:val="en-GB"/>
              </w:rPr>
              <w:t xml:space="preserve"> </w:t>
            </w:r>
          </w:p>
          <w:p w14:paraId="70A7A48E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C6E2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73743" w14:textId="24FCC92C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3136F" w14:textId="356DA705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</w:tr>
      <w:tr w:rsidR="00C34C18" w:rsidRPr="00C34C18" w14:paraId="4048DC1E" w14:textId="3BED7B5E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DD8FC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EDFA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 xml:space="preserve">Nitrogen content (Nt); Analysis via Auto-Analyzer </w:t>
            </w:r>
            <w:r w:rsidRPr="00C34C18">
              <w:rPr>
                <w:rFonts w:eastAsia="Calibri" w:cs="Arial"/>
                <w:u w:val="single"/>
                <w:lang w:val="en-GB"/>
              </w:rPr>
              <w:t>preferred</w:t>
            </w:r>
            <w:r w:rsidRPr="00C34C18">
              <w:rPr>
                <w:rFonts w:eastAsia="Calibri" w:cs="Arial"/>
                <w:b/>
                <w:bCs/>
                <w:u w:val="single"/>
                <w:lang w:val="en-GB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4CAA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319B6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28A29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508BBDAB" w14:textId="169B058A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133E1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0156E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Mass after drying (</w:t>
            </w:r>
            <w:r w:rsidRPr="00C34C18">
              <w:rPr>
                <w:rFonts w:eastAsia="Calibri" w:cs="Arial"/>
                <w:color w:val="000000"/>
                <w:lang w:val="en-GB"/>
              </w:rPr>
              <w:t>Dry mass</w:t>
            </w:r>
            <w:r w:rsidRPr="00C34C18">
              <w:rPr>
                <w:rFonts w:eastAsia="Calibri" w:cs="Arial"/>
                <w:lang w:val="en-GB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FCDE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C34CE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302CEA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7AEA2835" w14:textId="5737E62C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82DFA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9608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 xml:space="preserve">Available </w:t>
            </w:r>
            <w:r w:rsidRPr="00C34C18">
              <w:rPr>
                <w:rFonts w:eastAsia="Calibri" w:cs="Arial"/>
                <w:color w:val="000000"/>
                <w:lang w:val="en-GB"/>
              </w:rPr>
              <w:t>P</w:t>
            </w:r>
            <w:r w:rsidRPr="00C34C18">
              <w:rPr>
                <w:rFonts w:eastAsia="Calibri" w:cs="Arial"/>
                <w:lang w:val="en-GB"/>
              </w:rPr>
              <w:t xml:space="preserve">hosphorus content </w:t>
            </w:r>
            <w:r w:rsidRPr="00C34C18">
              <w:rPr>
                <w:rFonts w:eastAsia="Calibri" w:cs="Arial"/>
                <w:u w:val="single"/>
                <w:lang w:val="en-GB"/>
              </w:rPr>
              <w:t>according to</w:t>
            </w:r>
            <w:r w:rsidRPr="00C34C18">
              <w:rPr>
                <w:rFonts w:eastAsia="Calibri" w:cs="Arial"/>
                <w:lang w:val="en-GB"/>
              </w:rPr>
              <w:t xml:space="preserve"> the Mehlich-3-Method (P Mehlich 3)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6BF3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A040F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8605AC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0FA21511" w14:textId="2E94493D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57EC8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6625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Ca</w:t>
            </w:r>
            <w:r w:rsidRPr="00C34C18">
              <w:rPr>
                <w:rFonts w:eastAsia="Calibri" w:cs="Arial"/>
                <w:lang w:val="en-GB"/>
              </w:rPr>
              <w:t xml:space="preserve">lcium </w:t>
            </w:r>
            <w:r w:rsidRPr="00C34C18">
              <w:rPr>
                <w:rFonts w:eastAsia="Calibri" w:cs="Arial"/>
                <w:color w:val="000000"/>
                <w:lang w:val="en-GB"/>
              </w:rPr>
              <w:t>exch</w:t>
            </w:r>
            <w:r w:rsidRPr="00C34C18">
              <w:rPr>
                <w:rFonts w:eastAsia="Calibri" w:cs="Arial"/>
                <w:lang w:val="en-GB"/>
              </w:rPr>
              <w:t>ange capacity (Ca exch) in ammonium acetate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68B7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7192A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A7404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0F30B4DB" w14:textId="36D1828A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EE5D2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8F6A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M</w:t>
            </w:r>
            <w:r w:rsidRPr="00C34C18">
              <w:rPr>
                <w:rFonts w:eastAsia="Calibri" w:cs="Arial"/>
                <w:lang w:val="en-GB"/>
              </w:rPr>
              <w:t>agnesium</w:t>
            </w:r>
            <w:r w:rsidRPr="00C34C18">
              <w:rPr>
                <w:rFonts w:eastAsia="Calibri" w:cs="Arial"/>
                <w:color w:val="000000"/>
                <w:lang w:val="en-GB"/>
              </w:rPr>
              <w:t xml:space="preserve"> exch</w:t>
            </w:r>
            <w:r w:rsidRPr="00C34C18">
              <w:rPr>
                <w:rFonts w:eastAsia="Calibri" w:cs="Arial"/>
                <w:lang w:val="en-GB"/>
              </w:rPr>
              <w:t>ange capacity (Mg exch) in ammonium acetate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C574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316DB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9ADBE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7835BFF2" w14:textId="22DB220D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6F47F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9C27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Potassium exchange capacity (</w:t>
            </w:r>
            <w:r w:rsidRPr="00C34C18">
              <w:rPr>
                <w:rFonts w:eastAsia="Calibri" w:cs="Arial"/>
                <w:color w:val="000000"/>
                <w:lang w:val="en-GB"/>
              </w:rPr>
              <w:t>K exch</w:t>
            </w:r>
            <w:r w:rsidRPr="00C34C18">
              <w:rPr>
                <w:rFonts w:eastAsia="Calibri" w:cs="Arial"/>
                <w:lang w:val="en-GB"/>
              </w:rPr>
              <w:t>) in ammonium acetate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97336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AB8BE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5FFE6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15E7EDE7" w14:textId="2026F6B8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1A53E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1EF4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Extractable Aluminium (Al exch) in potassium chloride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51E6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3258A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3B45B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24E3124E" w14:textId="01BAD3CA" w:rsidTr="00C34C18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E6871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B9BA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Bulk density</w:t>
            </w:r>
            <w:r w:rsidRPr="00C34C18">
              <w:rPr>
                <w:rFonts w:eastAsia="Calibri" w:cs="Arial"/>
                <w:lang w:val="en-GB"/>
              </w:rPr>
              <w:t xml:space="preserve"> (samples provided from volumetric sampling with cylinders)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E605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5CD62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B9FDB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  <w:lang w:val="en-GB"/>
              </w:rPr>
            </w:pPr>
          </w:p>
        </w:tc>
      </w:tr>
      <w:tr w:rsidR="00C34C18" w:rsidRPr="00C34C18" w14:paraId="4AAC82B1" w14:textId="11108C99" w:rsidTr="00C34C18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3641EE90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14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9D4F2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lang w:val="en-GB"/>
              </w:rPr>
              <w:t>Texture according to particle size classes (to be pre-treated with H</w:t>
            </w:r>
            <w:r w:rsidRPr="00C34C18">
              <w:rPr>
                <w:rFonts w:eastAsia="Calibri" w:cs="Arial"/>
                <w:vertAlign w:val="subscript"/>
                <w:lang w:val="en-GB"/>
              </w:rPr>
              <w:t>2</w:t>
            </w:r>
            <w:r w:rsidRPr="00C34C18">
              <w:rPr>
                <w:rFonts w:eastAsia="Calibri" w:cs="Arial"/>
                <w:lang w:val="en-GB"/>
              </w:rPr>
              <w:t>O</w:t>
            </w:r>
            <w:r w:rsidRPr="00C34C18">
              <w:rPr>
                <w:rFonts w:eastAsia="Calibri" w:cs="Arial"/>
                <w:vertAlign w:val="subscript"/>
                <w:lang w:val="en-GB"/>
              </w:rPr>
              <w:t>2</w:t>
            </w:r>
            <w:r w:rsidRPr="00C34C18">
              <w:rPr>
                <w:rFonts w:eastAsia="Calibri" w:cs="Arial"/>
                <w:lang w:val="en-GB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F817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3069E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E93B0" w14:textId="77777777" w:rsidR="00C34C18" w:rsidRPr="00C34C18" w:rsidRDefault="00C34C18" w:rsidP="00C34C18">
            <w:pPr>
              <w:jc w:val="center"/>
              <w:rPr>
                <w:rFonts w:eastAsia="Calibri" w:cs="Arial"/>
                <w:color w:val="000000"/>
              </w:rPr>
            </w:pPr>
          </w:p>
        </w:tc>
      </w:tr>
      <w:tr w:rsidR="00C34C18" w:rsidRPr="00C34C18" w14:paraId="4C58A0B3" w14:textId="55A49310" w:rsidTr="00C34C18">
        <w:trPr>
          <w:trHeight w:val="283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1E8F33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7BA2" w14:textId="77777777" w:rsidR="00C34C18" w:rsidRPr="00C34C18" w:rsidRDefault="00C34C18" w:rsidP="00C34C18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Coarse sand</w:t>
            </w:r>
            <w:r w:rsidRPr="00C34C18">
              <w:rPr>
                <w:rFonts w:eastAsia="Calibri" w:cs="Arial"/>
                <w:lang w:val="en-GB"/>
              </w:rPr>
              <w:t xml:space="preserve"> (630 - 2000 µm)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C31B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4BD39" w14:textId="30B7E2D0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ABBA2" w14:textId="696234B5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</w:tr>
      <w:tr w:rsidR="00C34C18" w:rsidRPr="00C34C18" w14:paraId="78134F95" w14:textId="21ED0221" w:rsidTr="00C34C18">
        <w:trPr>
          <w:trHeight w:val="283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9CE36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EFFF" w14:textId="77777777" w:rsidR="00C34C18" w:rsidRPr="00C34C18" w:rsidRDefault="00C34C18" w:rsidP="00C34C18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Medium sand</w:t>
            </w:r>
            <w:r w:rsidRPr="00C34C18">
              <w:rPr>
                <w:rFonts w:eastAsia="Calibri" w:cs="Arial"/>
                <w:lang w:val="en-GB"/>
              </w:rPr>
              <w:t xml:space="preserve"> (200 to &lt; 630 µm)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BF36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E921D" w14:textId="19850016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78262" w14:textId="778CF33E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</w:tr>
      <w:tr w:rsidR="00C34C18" w:rsidRPr="00C34C18" w14:paraId="6FA7101F" w14:textId="2FD1ADA3" w:rsidTr="00C34C18">
        <w:trPr>
          <w:trHeight w:val="283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E10696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5AEC" w14:textId="77777777" w:rsidR="00C34C18" w:rsidRPr="00C34C18" w:rsidRDefault="00C34C18" w:rsidP="00C34C18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Fine sand</w:t>
            </w:r>
            <w:r w:rsidRPr="00C34C18">
              <w:rPr>
                <w:rFonts w:eastAsia="Calibri" w:cs="Arial"/>
                <w:lang w:val="en-GB"/>
              </w:rPr>
              <w:t xml:space="preserve"> (63 to &lt; 200 µm)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ACC94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38F21E" w14:textId="1E60FA2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F1D5C" w14:textId="755C9C83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</w:tr>
      <w:tr w:rsidR="00C34C18" w:rsidRPr="00C34C18" w14:paraId="7130B507" w14:textId="6B160F69" w:rsidTr="00C34C18">
        <w:trPr>
          <w:trHeight w:val="283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22649A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6526" w14:textId="77777777" w:rsidR="00C34C18" w:rsidRPr="00C34C18" w:rsidRDefault="00C34C18" w:rsidP="00C34C18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Silt</w:t>
            </w:r>
            <w:r w:rsidRPr="00C34C18">
              <w:rPr>
                <w:rFonts w:eastAsia="Calibri" w:cs="Arial"/>
                <w:lang w:val="en-GB"/>
              </w:rPr>
              <w:t xml:space="preserve"> (2 to &lt; 63 µm)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50B9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5E244" w14:textId="09695974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29CD" w14:textId="7CED4BB1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</w:tr>
      <w:tr w:rsidR="00C34C18" w:rsidRPr="00C34C18" w14:paraId="357CDBB5" w14:textId="460284A6" w:rsidTr="00C34C18">
        <w:trPr>
          <w:trHeight w:val="283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DB5FD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B334" w14:textId="77777777" w:rsidR="00C34C18" w:rsidRPr="00C34C18" w:rsidRDefault="00C34C18" w:rsidP="00C34C18">
            <w:pPr>
              <w:numPr>
                <w:ilvl w:val="0"/>
                <w:numId w:val="11"/>
              </w:numPr>
              <w:contextualSpacing/>
              <w:rPr>
                <w:rFonts w:eastAsia="Calibri" w:cs="Arial"/>
                <w:color w:val="000000"/>
                <w:lang w:val="en-GB"/>
              </w:rPr>
            </w:pPr>
            <w:r w:rsidRPr="00C34C18">
              <w:rPr>
                <w:rFonts w:eastAsia="Calibri" w:cs="Arial"/>
                <w:color w:val="000000"/>
                <w:lang w:val="en-GB"/>
              </w:rPr>
              <w:t>Clay (&lt;2</w:t>
            </w:r>
            <w:r w:rsidRPr="00C34C18">
              <w:rPr>
                <w:rFonts w:eastAsia="Calibri" w:cs="Arial"/>
                <w:lang w:val="en-GB"/>
              </w:rPr>
              <w:t xml:space="preserve"> µm)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BB51" w14:textId="7777777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A2D71" w14:textId="29995BDB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7B2B6" w14:textId="367DBA1D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</w:tr>
      <w:tr w:rsidR="00C34C18" w:rsidRPr="00C34C18" w14:paraId="1586D05F" w14:textId="77777777" w:rsidTr="00C34C18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D496" w14:textId="48A67F1C" w:rsid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 xml:space="preserve">Sum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769A" w14:textId="55E28970" w:rsidR="00C34C18" w:rsidRPr="00C34C18" w:rsidRDefault="00C34C18" w:rsidP="00C34C18">
            <w:pPr>
              <w:jc w:val="right"/>
              <w:rPr>
                <w:rFonts w:eastAsia="Calibri" w:cs="Arial"/>
                <w:b/>
                <w:bCs/>
                <w:lang w:val="en-GB"/>
              </w:rPr>
            </w:pPr>
            <w:r w:rsidRPr="00C34C18">
              <w:rPr>
                <w:rFonts w:eastAsia="Calibri" w:cs="Arial"/>
                <w:b/>
                <w:bCs/>
                <w:lang w:val="en-GB"/>
              </w:rPr>
              <w:t xml:space="preserve">Total price proposal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261" w14:textId="77777777" w:rsid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450" w14:textId="79C80C97" w:rsidR="00C34C18" w:rsidRPr="00C34C18" w:rsidRDefault="00C34C18" w:rsidP="00C34C18">
            <w:pPr>
              <w:jc w:val="center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911" w14:textId="77777777" w:rsidR="00C34C18" w:rsidRPr="00C34C18" w:rsidRDefault="00C34C18" w:rsidP="00C34C18">
            <w:pPr>
              <w:rPr>
                <w:rFonts w:eastAsia="Calibri" w:cs="Arial"/>
                <w:lang w:val="en-GB"/>
              </w:rPr>
            </w:pPr>
          </w:p>
        </w:tc>
      </w:tr>
    </w:tbl>
    <w:p w14:paraId="7CBA171C" w14:textId="77777777" w:rsidR="00C34C18" w:rsidRPr="00C34C18" w:rsidRDefault="00C34C18" w:rsidP="00A77EEC">
      <w:pPr>
        <w:rPr>
          <w:rStyle w:val="PageNumber"/>
          <w:lang w:val="en-GB"/>
        </w:rPr>
      </w:pPr>
    </w:p>
    <w:sectPr w:rsidR="00C34C18" w:rsidRPr="00C34C18" w:rsidSect="00C34C18">
      <w:headerReference w:type="default" r:id="rId11"/>
      <w:footerReference w:type="default" r:id="rId12"/>
      <w:pgSz w:w="16838" w:h="11906" w:orient="landscape" w:code="9"/>
      <w:pgMar w:top="1418" w:right="1418" w:bottom="1418" w:left="127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5AE4" w14:textId="77777777" w:rsidR="00923095" w:rsidRDefault="00923095" w:rsidP="00A637D0">
      <w:r>
        <w:separator/>
      </w:r>
    </w:p>
  </w:endnote>
  <w:endnote w:type="continuationSeparator" w:id="0">
    <w:p w14:paraId="155054A7" w14:textId="77777777" w:rsidR="00923095" w:rsidRDefault="00923095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1A05" w14:textId="624E1BFC" w:rsidR="00C34C18" w:rsidRPr="00CB701E" w:rsidRDefault="00C34C18">
    <w:pPr>
      <w:pStyle w:val="Footer"/>
      <w:rPr>
        <w:lang w:val="en-US"/>
      </w:rPr>
    </w:pPr>
    <w:r w:rsidRPr="00C34C18">
      <w:rPr>
        <w:rFonts w:eastAsia="Calibri" w:cs="Arial"/>
        <w:b/>
        <w:bCs/>
        <w:lang w:val="en-GB"/>
      </w:rPr>
      <w:t>*</w:t>
    </w:r>
    <w:r w:rsidRPr="00C34C18">
      <w:rPr>
        <w:rFonts w:eastAsia="Calibri" w:cs="Arial"/>
        <w:lang w:val="en-GB"/>
      </w:rPr>
      <w:t>For analyses of carbon and nitrogen, the use of an auto-analyser is given preference over alternative methods such as Walkley-Black and Kjeldahl.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3F95" w14:textId="77777777" w:rsidR="00923095" w:rsidRDefault="00923095" w:rsidP="00A637D0">
      <w:r>
        <w:separator/>
      </w:r>
    </w:p>
  </w:footnote>
  <w:footnote w:type="continuationSeparator" w:id="0">
    <w:p w14:paraId="06F239DA" w14:textId="77777777" w:rsidR="00923095" w:rsidRDefault="00923095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625191" w14:paraId="1B9849DB" w14:textId="77777777" w:rsidTr="00625191">
      <w:tc>
        <w:tcPr>
          <w:tcW w:w="3497" w:type="pct"/>
        </w:tcPr>
        <w:p w14:paraId="373AD60E" w14:textId="77777777" w:rsidR="00625191" w:rsidRPr="003F6EC9" w:rsidRDefault="00625191" w:rsidP="00625191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720"/>
            <w:rPr>
              <w:sz w:val="22"/>
              <w:szCs w:val="22"/>
            </w:rPr>
          </w:pPr>
        </w:p>
      </w:tc>
      <w:tc>
        <w:tcPr>
          <w:tcW w:w="1503" w:type="pct"/>
        </w:tcPr>
        <w:p w14:paraId="67329C05" w14:textId="77777777" w:rsidR="00625191" w:rsidRDefault="004F703A" w:rsidP="004F703A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 wp14:anchorId="3F31CD16" wp14:editId="7495A665">
                <wp:extent cx="898525" cy="899795"/>
                <wp:effectExtent l="19050" t="0" r="0" b="0"/>
                <wp:docPr id="2" name="Grafik 0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560876" w14:textId="77777777" w:rsidR="00625191" w:rsidRPr="00165E31" w:rsidRDefault="00625191" w:rsidP="0016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A0440"/>
    <w:multiLevelType w:val="hybridMultilevel"/>
    <w:tmpl w:val="CD34C5DC"/>
    <w:lvl w:ilvl="0" w:tplc="7BC234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03130">
    <w:abstractNumId w:val="9"/>
  </w:num>
  <w:num w:numId="2" w16cid:durableId="373388146">
    <w:abstractNumId w:val="8"/>
  </w:num>
  <w:num w:numId="3" w16cid:durableId="1983192969">
    <w:abstractNumId w:val="7"/>
  </w:num>
  <w:num w:numId="4" w16cid:durableId="360209986">
    <w:abstractNumId w:val="6"/>
  </w:num>
  <w:num w:numId="5" w16cid:durableId="1511523346">
    <w:abstractNumId w:val="5"/>
  </w:num>
  <w:num w:numId="6" w16cid:durableId="1263880017">
    <w:abstractNumId w:val="4"/>
  </w:num>
  <w:num w:numId="7" w16cid:durableId="1608807166">
    <w:abstractNumId w:val="3"/>
  </w:num>
  <w:num w:numId="8" w16cid:durableId="158424901">
    <w:abstractNumId w:val="2"/>
  </w:num>
  <w:num w:numId="9" w16cid:durableId="105465014">
    <w:abstractNumId w:val="1"/>
  </w:num>
  <w:num w:numId="10" w16cid:durableId="1273627762">
    <w:abstractNumId w:val="0"/>
  </w:num>
  <w:num w:numId="11" w16cid:durableId="1468816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18"/>
    <w:rsid w:val="000A5C66"/>
    <w:rsid w:val="000C2466"/>
    <w:rsid w:val="000F1C7E"/>
    <w:rsid w:val="001130BA"/>
    <w:rsid w:val="00165E31"/>
    <w:rsid w:val="00190868"/>
    <w:rsid w:val="001A28F7"/>
    <w:rsid w:val="001C07C7"/>
    <w:rsid w:val="001F4417"/>
    <w:rsid w:val="00205815"/>
    <w:rsid w:val="00212F55"/>
    <w:rsid w:val="00217A51"/>
    <w:rsid w:val="002532B6"/>
    <w:rsid w:val="002732CC"/>
    <w:rsid w:val="002C318A"/>
    <w:rsid w:val="003306FA"/>
    <w:rsid w:val="00333EFE"/>
    <w:rsid w:val="003F6EC9"/>
    <w:rsid w:val="00463EC1"/>
    <w:rsid w:val="00466305"/>
    <w:rsid w:val="004666E2"/>
    <w:rsid w:val="0049307C"/>
    <w:rsid w:val="004E11DA"/>
    <w:rsid w:val="004F703A"/>
    <w:rsid w:val="005D500F"/>
    <w:rsid w:val="00613B92"/>
    <w:rsid w:val="00625191"/>
    <w:rsid w:val="006E2E2F"/>
    <w:rsid w:val="006F643B"/>
    <w:rsid w:val="00722877"/>
    <w:rsid w:val="00752AC5"/>
    <w:rsid w:val="007B14B5"/>
    <w:rsid w:val="007D1279"/>
    <w:rsid w:val="007D626A"/>
    <w:rsid w:val="00824179"/>
    <w:rsid w:val="00847F0B"/>
    <w:rsid w:val="00856CFA"/>
    <w:rsid w:val="00880B21"/>
    <w:rsid w:val="00881F06"/>
    <w:rsid w:val="008C00BE"/>
    <w:rsid w:val="00923095"/>
    <w:rsid w:val="009A13D5"/>
    <w:rsid w:val="009B0BA2"/>
    <w:rsid w:val="009D62F2"/>
    <w:rsid w:val="009E4E08"/>
    <w:rsid w:val="009E7E71"/>
    <w:rsid w:val="00A13972"/>
    <w:rsid w:val="00A637D0"/>
    <w:rsid w:val="00A77EEC"/>
    <w:rsid w:val="00AA0BB3"/>
    <w:rsid w:val="00AC0E75"/>
    <w:rsid w:val="00AE6941"/>
    <w:rsid w:val="00B86CC5"/>
    <w:rsid w:val="00B969D6"/>
    <w:rsid w:val="00BA06E5"/>
    <w:rsid w:val="00BB78D7"/>
    <w:rsid w:val="00BD246C"/>
    <w:rsid w:val="00C1422E"/>
    <w:rsid w:val="00C33501"/>
    <w:rsid w:val="00C34C18"/>
    <w:rsid w:val="00C64B30"/>
    <w:rsid w:val="00C76E1E"/>
    <w:rsid w:val="00CB701E"/>
    <w:rsid w:val="00D2054F"/>
    <w:rsid w:val="00DD592E"/>
    <w:rsid w:val="00DE6D89"/>
    <w:rsid w:val="00DF6E8E"/>
    <w:rsid w:val="00E00A39"/>
    <w:rsid w:val="00E46413"/>
    <w:rsid w:val="00E534D5"/>
    <w:rsid w:val="00E56E2E"/>
    <w:rsid w:val="00E62B79"/>
    <w:rsid w:val="00E9115F"/>
    <w:rsid w:val="00ED67E0"/>
    <w:rsid w:val="00F227E7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44A26"/>
  <w15:docId w15:val="{05636B19-6670-4C4F-B517-1FC738C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izonline.sharepoint.com/sites/common_content/Office%20Templates/GIZ-Allgemein/vorlage-giz-logo-schwar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763AB22994DBC1AC0267C8BC4F1" ma:contentTypeVersion="4" ma:contentTypeDescription="Create a new document." ma:contentTypeScope="" ma:versionID="3ce045314d09cd79fe9c89b947e65068">
  <xsd:schema xmlns:xsd="http://www.w3.org/2001/XMLSchema" xmlns:xs="http://www.w3.org/2001/XMLSchema" xmlns:p="http://schemas.microsoft.com/office/2006/metadata/properties" xmlns:ns2="f48c3ea7-45bd-4121-b325-a3e340329d2c" xmlns:ns3="bf584408-68f7-43f9-a875-51b8c1743fcc" targetNamespace="http://schemas.microsoft.com/office/2006/metadata/properties" ma:root="true" ma:fieldsID="ed1629248e311eda8d62da0652cbc29d" ns2:_="" ns3:_="">
    <xsd:import namespace="f48c3ea7-45bd-4121-b325-a3e340329d2c"/>
    <xsd:import namespace="bf584408-68f7-43f9-a875-51b8c1743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3ea7-45bd-4121-b325-a3e340329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4408-68f7-43f9-a875-51b8c1743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1623-2035-4993-BB5C-5A9F0C369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77686-A374-41BA-8105-C1AE9183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A2F5E-156D-4076-9F3F-DC6176C61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3ea7-45bd-4121-b325-a3e340329d2c"/>
    <ds:schemaRef ds:uri="bf584408-68f7-43f9-a875-51b8c1743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818BB-A2E4-41AF-9ECF-C81E5F3B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vorlage-giz-logo-schwarz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mit schwarzem GIZ-Logo</vt:lpstr>
      <vt:lpstr/>
    </vt:vector>
  </TitlesOfParts>
  <Company>GIZ GmbH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schwarzem GIZ-Logo</dc:title>
  <dc:subject/>
  <dc:creator>Unur Delger</dc:creator>
  <cp:keywords/>
  <dc:description/>
  <cp:lastModifiedBy>Chkheidze, Anna GIZ GE</cp:lastModifiedBy>
  <cp:revision>4</cp:revision>
  <dcterms:created xsi:type="dcterms:W3CDTF">2023-04-24T08:35:00Z</dcterms:created>
  <dcterms:modified xsi:type="dcterms:W3CDTF">2023-05-17T18:41:00Z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0x0101007FB4C763AB22994DBC1AC0267C8BC4F1</vt:lpwstr>
  </property>
</Properties>
</file>