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A40B6E" w:rsidRPr="007C32F5" w:rsidRDefault="00A40B6E" w:rsidP="00A40B6E">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A40B6E" w:rsidRPr="009758FC"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A40B6E" w:rsidRPr="00AA21CE"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40B6E" w:rsidRPr="002D5763"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A40B6E" w:rsidRPr="002D5763" w:rsidRDefault="00A40B6E" w:rsidP="00A40B6E">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D170A8">
        <w:rPr>
          <w:rFonts w:ascii="Sylfaen" w:hAnsi="Sylfaen"/>
          <w:sz w:val="18"/>
          <w:szCs w:val="18"/>
          <w:lang w:val="ka-GE"/>
        </w:rPr>
        <w:t>.</w:t>
      </w:r>
    </w:p>
    <w:p w:rsidR="00A40B6E" w:rsidRPr="007C32F5" w:rsidRDefault="00A40B6E" w:rsidP="00A40B6E">
      <w:pPr>
        <w:pStyle w:val="ListParagraph"/>
        <w:jc w:val="both"/>
        <w:rPr>
          <w:rFonts w:ascii="Sylfaen" w:hAnsi="Sylfaen"/>
          <w:b/>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A40B6E" w:rsidRPr="007F3501"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A40B6E" w:rsidRPr="007F3501" w:rsidRDefault="00A40B6E" w:rsidP="00A40B6E">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A40B6E" w:rsidRDefault="00A40B6E" w:rsidP="00A40B6E">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A40B6E" w:rsidRDefault="00A40B6E" w:rsidP="00A40B6E">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GWP</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GWP</w:t>
      </w:r>
      <w:r w:rsidRPr="007849C2">
        <w:rPr>
          <w:rFonts w:ascii="Sylfaen" w:hAnsi="Sylfaen"/>
          <w:sz w:val="18"/>
          <w:szCs w:val="18"/>
          <w:lang w:val="ka-GE"/>
        </w:rPr>
        <w:t xml:space="preserve"> მიიჩნეს მიზანშეწონილად.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A40B6E" w:rsidRPr="007849C2"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A40B6E" w:rsidRPr="007C32F5" w:rsidRDefault="00A40B6E" w:rsidP="00A40B6E">
      <w:pPr>
        <w:pStyle w:val="ListParagraph"/>
        <w:ind w:left="180"/>
        <w:jc w:val="both"/>
        <w:rPr>
          <w:rFonts w:ascii="Sylfaen" w:hAnsi="Sylfaen"/>
          <w:sz w:val="18"/>
          <w:szCs w:val="18"/>
          <w:lang w:val="ka-GE"/>
        </w:rPr>
      </w:pPr>
    </w:p>
    <w:p w:rsidR="00A40B6E" w:rsidRPr="008936C6" w:rsidRDefault="00A40B6E" w:rsidP="00A40B6E">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lastRenderedPageBreak/>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„მხარეთა“ შორის ანგარიშსწორება წარმოებს ეროვნულ ვალუტაში, უნაღდო ანგარიშსწორების წესით, </w:t>
      </w:r>
      <w:r w:rsidR="000B4F6C">
        <w:rPr>
          <w:rFonts w:ascii="Sylfaen" w:hAnsi="Sylfaen"/>
          <w:sz w:val="18"/>
          <w:szCs w:val="18"/>
          <w:lang w:val="ka-GE"/>
        </w:rPr>
        <w:t>„</w:t>
      </w:r>
      <w:r w:rsidRPr="00EC64AC">
        <w:rPr>
          <w:rFonts w:ascii="Sylfaen" w:hAnsi="Sylfaen"/>
          <w:sz w:val="18"/>
          <w:szCs w:val="18"/>
          <w:lang w:val="ka-GE"/>
        </w:rPr>
        <w:t>საქონლის</w:t>
      </w:r>
      <w:r w:rsidR="000B4F6C">
        <w:rPr>
          <w:rFonts w:ascii="Sylfaen" w:hAnsi="Sylfaen"/>
          <w:sz w:val="18"/>
          <w:szCs w:val="18"/>
          <w:lang w:val="ka-GE"/>
        </w:rPr>
        <w:t>“</w:t>
      </w:r>
      <w:r w:rsidRPr="00EC64AC">
        <w:rPr>
          <w:rFonts w:ascii="Sylfaen" w:hAnsi="Sylfaen"/>
          <w:sz w:val="18"/>
          <w:szCs w:val="18"/>
          <w:lang w:val="ka-GE"/>
        </w:rPr>
        <w:t xml:space="preserve"> </w:t>
      </w:r>
      <w:r w:rsidR="000B4F6C">
        <w:rPr>
          <w:rFonts w:ascii="Sylfaen" w:hAnsi="Sylfaen"/>
          <w:sz w:val="18"/>
          <w:szCs w:val="18"/>
          <w:lang w:val="ka-GE"/>
        </w:rPr>
        <w:t xml:space="preserve">და „მომსახურების“ </w:t>
      </w:r>
      <w:r w:rsidRPr="00EC64AC">
        <w:rPr>
          <w:rFonts w:ascii="Sylfaen" w:hAnsi="Sylfaen"/>
          <w:sz w:val="18"/>
          <w:szCs w:val="18"/>
          <w:lang w:val="ka-GE"/>
        </w:rPr>
        <w:t xml:space="preserve">მიწოდებიდან </w:t>
      </w:r>
      <w:r w:rsidR="000B4F6C">
        <w:rPr>
          <w:rFonts w:ascii="Sylfaen" w:hAnsi="Sylfaen"/>
          <w:sz w:val="18"/>
          <w:szCs w:val="18"/>
          <w:lang w:val="ka-GE"/>
        </w:rPr>
        <w:t xml:space="preserve"> </w:t>
      </w:r>
      <w:r w:rsidRPr="00EC64AC">
        <w:rPr>
          <w:rFonts w:ascii="Sylfaen" w:hAnsi="Sylfaen"/>
          <w:sz w:val="18"/>
          <w:szCs w:val="18"/>
          <w:lang w:val="ka-GE"/>
        </w:rPr>
        <w:t>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w:t>
      </w:r>
      <w:r w:rsidRPr="001F1BCF">
        <w:rPr>
          <w:rFonts w:ascii="Sylfaen" w:hAnsi="Sylfaen"/>
          <w:sz w:val="18"/>
          <w:szCs w:val="18"/>
          <w:lang w:val="ka-GE"/>
        </w:rPr>
        <w:lastRenderedPageBreak/>
        <w:t xml:space="preserve">„ნასყიდობის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xml:space="preserve">-ს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A40B6E"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w:t>
      </w:r>
      <w:r w:rsidRPr="007B369F">
        <w:rPr>
          <w:rFonts w:ascii="Sylfaen" w:hAnsi="Sylfaen" w:cs="Sylfaen"/>
          <w:sz w:val="18"/>
          <w:szCs w:val="18"/>
          <w:lang w:val="ka-GE"/>
        </w:rPr>
        <w:lastRenderedPageBreak/>
        <w:t xml:space="preserve">საქმიანობას“ წინამდებარე „ხელშეკრულების“ მოქმედების ვადის განმავლობაში. </w:t>
      </w:r>
    </w:p>
    <w:p w:rsidR="00A40B6E" w:rsidRPr="00EC64AC" w:rsidRDefault="00505E07" w:rsidP="00505E07">
      <w:pPr>
        <w:ind w:left="450" w:hanging="450"/>
        <w:jc w:val="both"/>
        <w:rPr>
          <w:rFonts w:ascii="Sylfaen" w:hAnsi="Sylfaen"/>
          <w:sz w:val="18"/>
          <w:szCs w:val="18"/>
          <w:lang w:val="ka-GE"/>
        </w:rPr>
      </w:pPr>
      <w:r>
        <w:rPr>
          <w:rFonts w:ascii="Sylfaen" w:hAnsi="Sylfaen" w:cs="Sylfaen"/>
          <w:sz w:val="18"/>
          <w:szCs w:val="18"/>
          <w:lang w:val="ka-GE"/>
        </w:rPr>
        <w:t xml:space="preserve">  </w:t>
      </w:r>
      <w:r w:rsidRPr="00505E07">
        <w:rPr>
          <w:rFonts w:ascii="Sylfaen" w:hAnsi="Sylfaen" w:cs="Sylfaen"/>
          <w:sz w:val="18"/>
          <w:szCs w:val="18"/>
          <w:lang w:val="ka-GE"/>
        </w:rPr>
        <w:t xml:space="preserve">6.14 </w:t>
      </w:r>
      <w:r>
        <w:rPr>
          <w:rFonts w:ascii="Sylfaen" w:hAnsi="Sylfaen" w:cs="Sylfaen"/>
          <w:sz w:val="18"/>
          <w:szCs w:val="18"/>
          <w:lang w:val="ka-GE"/>
        </w:rPr>
        <w:t xml:space="preserve"> „კომპანია“ ვალდებულია დაიცვას  </w:t>
      </w:r>
      <w:r w:rsidRPr="00826FCB">
        <w:rPr>
          <w:rFonts w:ascii="Sylfaen" w:hAnsi="Sylfaen" w:cs="Sylfaen"/>
          <w:sz w:val="18"/>
          <w:szCs w:val="18"/>
          <w:lang w:val="ka-GE"/>
        </w:rPr>
        <w:t xml:space="preserve">„ხელშეკრულების“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w:t>
      </w:r>
      <w:r>
        <w:rPr>
          <w:rFonts w:ascii="Sylfaen" w:hAnsi="Sylfaen" w:cs="Sylfaen"/>
          <w:sz w:val="18"/>
          <w:szCs w:val="18"/>
          <w:lang w:val="ka-GE"/>
        </w:rPr>
        <w:t>განცხადებები,</w:t>
      </w:r>
      <w:r w:rsidRPr="00826FCB">
        <w:rPr>
          <w:rFonts w:ascii="Sylfaen" w:hAnsi="Sylfaen" w:cs="Sylfaen"/>
          <w:sz w:val="18"/>
          <w:szCs w:val="18"/>
          <w:lang w:val="ka-GE"/>
        </w:rPr>
        <w:t xml:space="preserve"> </w:t>
      </w:r>
      <w:r>
        <w:rPr>
          <w:rFonts w:ascii="Sylfaen" w:hAnsi="Sylfaen" w:cs="Sylfaen"/>
          <w:sz w:val="18"/>
          <w:szCs w:val="18"/>
          <w:lang w:val="ka-GE"/>
        </w:rPr>
        <w:t>გარანტიები</w:t>
      </w:r>
      <w:r w:rsidRPr="00826FCB">
        <w:rPr>
          <w:rFonts w:ascii="Sylfaen" w:hAnsi="Sylfaen" w:cs="Sylfaen"/>
          <w:sz w:val="18"/>
          <w:szCs w:val="18"/>
          <w:lang w:val="ka-GE"/>
        </w:rPr>
        <w:t xml:space="preserve"> და ნაკისრი </w:t>
      </w:r>
      <w:r>
        <w:rPr>
          <w:rFonts w:ascii="Sylfaen" w:hAnsi="Sylfaen" w:cs="Sylfaen"/>
          <w:sz w:val="18"/>
          <w:szCs w:val="18"/>
          <w:lang w:val="ka-GE"/>
        </w:rPr>
        <w:t xml:space="preserve">ვალდებულებები. </w:t>
      </w:r>
    </w:p>
    <w:p w:rsidR="00A40B6E" w:rsidRPr="00EC64AC"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w:t>
      </w:r>
      <w:r w:rsidR="004E4306">
        <w:rPr>
          <w:rFonts w:ascii="Sylfaen" w:hAnsi="Sylfaen" w:cs="Sylfaen"/>
          <w:b/>
          <w:sz w:val="18"/>
          <w:szCs w:val="18"/>
          <w:lang w:val="ka-GE"/>
        </w:rPr>
        <w:t xml:space="preserve"> და „საქონლის“ </w:t>
      </w:r>
      <w:r w:rsidRPr="007C32F5">
        <w:rPr>
          <w:rFonts w:ascii="Sylfaen" w:hAnsi="Sylfaen" w:cs="Sylfaen"/>
          <w:b/>
          <w:sz w:val="18"/>
          <w:szCs w:val="18"/>
          <w:lang w:val="ka-GE"/>
        </w:rPr>
        <w:t xml:space="preserve">ხარისხი </w:t>
      </w:r>
      <w:r>
        <w:rPr>
          <w:rFonts w:ascii="Sylfaen" w:hAnsi="Sylfaen" w:cs="Sylfaen"/>
          <w:b/>
          <w:sz w:val="18"/>
          <w:szCs w:val="18"/>
          <w:lang w:val="ka-GE"/>
        </w:rPr>
        <w:t>და საგარანტიო ვადა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9A5F07">
        <w:rPr>
          <w:rFonts w:ascii="Sylfaen" w:hAnsi="Sylfaen" w:cs="Sylfaen"/>
          <w:sz w:val="18"/>
          <w:szCs w:val="18"/>
          <w:lang w:val="ka-GE"/>
        </w:rPr>
        <w:t xml:space="preserve"> და „მხარეთა“ მიერ შეთანხმებულ ხარისხობრივ და ტექნიკურ მახასიათებლებს. </w:t>
      </w:r>
    </w:p>
    <w:p w:rsidR="00A40B6E" w:rsidRPr="00F03E11"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w:t>
      </w:r>
      <w:r w:rsidR="00862F88">
        <w:rPr>
          <w:rFonts w:ascii="Sylfaen" w:hAnsi="Sylfaen" w:cs="Sylfaen"/>
          <w:sz w:val="18"/>
          <w:szCs w:val="18"/>
          <w:lang w:val="ka-GE"/>
        </w:rPr>
        <w:t>„</w:t>
      </w:r>
      <w:r w:rsidRPr="00F03E11">
        <w:rPr>
          <w:rFonts w:ascii="Sylfaen" w:hAnsi="Sylfaen" w:cs="Sylfaen"/>
          <w:sz w:val="18"/>
          <w:szCs w:val="18"/>
          <w:lang w:val="ka-GE"/>
        </w:rPr>
        <w:t>საქონელი</w:t>
      </w:r>
      <w:r w:rsidR="00862F88">
        <w:rPr>
          <w:rFonts w:ascii="Sylfaen" w:hAnsi="Sylfaen" w:cs="Sylfaen"/>
          <w:sz w:val="18"/>
          <w:szCs w:val="18"/>
          <w:lang w:val="ka-GE"/>
        </w:rPr>
        <w:t>“</w:t>
      </w:r>
      <w:r w:rsidRPr="00F03E11">
        <w:rPr>
          <w:rFonts w:ascii="Sylfaen" w:hAnsi="Sylfaen" w:cs="Sylfaen"/>
          <w:sz w:val="18"/>
          <w:szCs w:val="18"/>
          <w:lang w:val="ka-GE"/>
        </w:rPr>
        <w:t xml:space="preserve"> ახალი, უხარვეზო </w:t>
      </w:r>
      <w:r w:rsidR="00862F88">
        <w:rPr>
          <w:rFonts w:ascii="Sylfaen" w:hAnsi="Sylfaen" w:cs="Sylfaen"/>
          <w:sz w:val="18"/>
          <w:szCs w:val="18"/>
          <w:lang w:val="ka-GE"/>
        </w:rPr>
        <w:t>„</w:t>
      </w:r>
      <w:r w:rsidRPr="00F03E11">
        <w:rPr>
          <w:rFonts w:ascii="Sylfaen" w:hAnsi="Sylfaen" w:cs="Sylfaen"/>
          <w:sz w:val="18"/>
          <w:szCs w:val="18"/>
          <w:lang w:val="ka-GE"/>
        </w:rPr>
        <w:t>საქონელით</w:t>
      </w:r>
      <w:r w:rsidR="00862F88">
        <w:rPr>
          <w:rFonts w:ascii="Sylfaen" w:hAnsi="Sylfaen" w:cs="Sylfaen"/>
          <w:sz w:val="18"/>
          <w:szCs w:val="18"/>
          <w:lang w:val="ka-GE"/>
        </w:rPr>
        <w:t>“ ან/და გამოასწოროს „მომსახურების“ ნაკლი</w:t>
      </w:r>
      <w:r w:rsidRPr="00F03E11">
        <w:rPr>
          <w:rFonts w:ascii="Sylfaen" w:hAnsi="Sylfaen" w:cs="Sylfaen"/>
          <w:sz w:val="18"/>
          <w:szCs w:val="18"/>
          <w:lang w:val="ka-GE"/>
        </w:rPr>
        <w:t xml:space="preserve">.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w:t>
      </w:r>
      <w:r w:rsidR="00862F88">
        <w:rPr>
          <w:rFonts w:ascii="Sylfaen" w:hAnsi="Sylfaen" w:cs="Sylfaen"/>
          <w:sz w:val="18"/>
          <w:szCs w:val="18"/>
          <w:lang w:val="ka-GE"/>
        </w:rPr>
        <w:t xml:space="preserve"> ან/და ნაკლის გამოსწორებასთან</w:t>
      </w:r>
      <w:bookmarkStart w:id="0" w:name="_GoBack"/>
      <w:bookmarkEnd w:id="0"/>
      <w:r w:rsidRPr="00F03E11">
        <w:rPr>
          <w:rFonts w:ascii="Sylfaen" w:hAnsi="Sylfaen" w:cs="Sylfaen"/>
          <w:sz w:val="18"/>
          <w:szCs w:val="18"/>
          <w:lang w:val="ka-GE"/>
        </w:rPr>
        <w:t xml:space="preserve"> დაკავშირებული ყველა თანმდევი ხარჯი.</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8F334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 xml:space="preserve"> და საქართველოს კანონმდებლობით დადგენილი წესით.</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GWP</w:t>
      </w:r>
      <w:r w:rsidRPr="00EC64AC">
        <w:rPr>
          <w:rFonts w:ascii="Sylfaen" w:hAnsi="Sylfaen" w:cs="Sylfaen"/>
          <w:sz w:val="18"/>
          <w:szCs w:val="18"/>
          <w:lang w:val="ka-GE"/>
        </w:rPr>
        <w:t>-</w:t>
      </w:r>
      <w:r w:rsidRPr="007C32F5">
        <w:rPr>
          <w:rFonts w:ascii="Sylfaen" w:hAnsi="Sylfaen" w:cs="Sylfaen"/>
          <w:sz w:val="18"/>
          <w:szCs w:val="18"/>
          <w:lang w:val="ka-GE"/>
        </w:rPr>
        <w:t xml:space="preserve">ის მიმართ გადასახდელი ექნება რაიმე სახის პირგასამტეხლო ან/და </w:t>
      </w:r>
      <w:r w:rsidRPr="007C32F5">
        <w:rPr>
          <w:rFonts w:ascii="Sylfaen" w:hAnsi="Sylfaen" w:cs="Sylfaen"/>
          <w:sz w:val="18"/>
          <w:szCs w:val="18"/>
          <w:lang w:val="ka-GE"/>
        </w:rPr>
        <w:lastRenderedPageBreak/>
        <w:t>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A40B6E" w:rsidRPr="00826FCB" w:rsidRDefault="00A40B6E" w:rsidP="00A40B6E">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A40B6E" w:rsidRPr="007C32F5" w:rsidRDefault="00A40B6E" w:rsidP="00A40B6E">
      <w:pPr>
        <w:pStyle w:val="ListParagraph"/>
        <w:ind w:left="45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8936C6"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DB3BCE" w:rsidRDefault="00A40B6E" w:rsidP="00A40B6E">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A40B6E" w:rsidRPr="007C32F5" w:rsidRDefault="00A40B6E" w:rsidP="00A40B6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lastRenderedPageBreak/>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GWP</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A40B6E" w:rsidRPr="007C32F5"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lastRenderedPageBreak/>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A40B6E" w:rsidRPr="00EC64AC"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A40B6E" w:rsidRDefault="00A40B6E" w:rsidP="00A40B6E">
      <w:pPr>
        <w:pStyle w:val="ListParagraph"/>
        <w:spacing w:after="160" w:line="276" w:lineRule="auto"/>
        <w:ind w:right="-18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024509"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A40B6E" w:rsidRDefault="00A40B6E" w:rsidP="00A40B6E">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A40B6E" w:rsidRPr="007C32F5" w:rsidRDefault="00A40B6E" w:rsidP="00A40B6E">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A40B6E" w:rsidRPr="007C32F5" w:rsidRDefault="00A40B6E" w:rsidP="00A40B6E">
      <w:pPr>
        <w:spacing w:line="276" w:lineRule="auto"/>
        <w:ind w:right="-180"/>
        <w:jc w:val="both"/>
        <w:rPr>
          <w:rFonts w:ascii="Sylfaen" w:hAnsi="Sylfaen" w:cs="Sylfaen"/>
          <w:b/>
          <w:sz w:val="18"/>
          <w:szCs w:val="18"/>
        </w:rPr>
      </w:pPr>
    </w:p>
    <w:p w:rsidR="00A40B6E" w:rsidRPr="000D310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A40B6E" w:rsidRPr="007B369F" w:rsidRDefault="00A40B6E" w:rsidP="00A40B6E"/>
    <w:p w:rsidR="000D3105" w:rsidRPr="00A40B6E" w:rsidRDefault="000D3105" w:rsidP="00A40B6E"/>
    <w:sectPr w:rsidR="000D3105" w:rsidRPr="00A40B6E" w:rsidSect="00C0467D">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862F88">
          <w:rPr>
            <w:noProof/>
          </w:rPr>
          <w:t>5</w:t>
        </w:r>
        <w:r>
          <w:rPr>
            <w:noProof/>
          </w:rPr>
          <w:fldChar w:fldCharType="end"/>
        </w:r>
      </w:p>
    </w:sdtContent>
  </w:sdt>
  <w:p w:rsidR="001C0D7D" w:rsidRPr="001A168A" w:rsidRDefault="000A1FD3">
    <w:pPr>
      <w:pStyle w:val="Footer"/>
      <w:rPr>
        <w:sz w:val="16"/>
        <w:szCs w:val="16"/>
      </w:rPr>
    </w:pPr>
    <w:r>
      <w:rPr>
        <w:sz w:val="16"/>
        <w:szCs w:val="16"/>
      </w:rPr>
      <w:t>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BA4C60">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BA4C60">
      <w:rPr>
        <w:rFonts w:ascii="Sylfaen" w:hAnsi="Sylfaen"/>
      </w:rPr>
      <w:t xml:space="preserve">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BA4C6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BA4C6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rsidP="00BA4C6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1FD3"/>
    <w:rsid w:val="000B30B6"/>
    <w:rsid w:val="000B4F6C"/>
    <w:rsid w:val="000D3105"/>
    <w:rsid w:val="00180FD1"/>
    <w:rsid w:val="001A168A"/>
    <w:rsid w:val="001C0D7D"/>
    <w:rsid w:val="001F1BCF"/>
    <w:rsid w:val="00214B73"/>
    <w:rsid w:val="00275510"/>
    <w:rsid w:val="002B0F05"/>
    <w:rsid w:val="002C0583"/>
    <w:rsid w:val="002D5763"/>
    <w:rsid w:val="002E1BEC"/>
    <w:rsid w:val="0034416C"/>
    <w:rsid w:val="0037794E"/>
    <w:rsid w:val="003B186A"/>
    <w:rsid w:val="003C3F9B"/>
    <w:rsid w:val="003E1E95"/>
    <w:rsid w:val="0040288A"/>
    <w:rsid w:val="00450D99"/>
    <w:rsid w:val="004612E0"/>
    <w:rsid w:val="00466C11"/>
    <w:rsid w:val="004710F4"/>
    <w:rsid w:val="004C6A8E"/>
    <w:rsid w:val="004D7081"/>
    <w:rsid w:val="004E4306"/>
    <w:rsid w:val="00505E07"/>
    <w:rsid w:val="00556F74"/>
    <w:rsid w:val="00562C14"/>
    <w:rsid w:val="005F2BD2"/>
    <w:rsid w:val="00675274"/>
    <w:rsid w:val="006966FD"/>
    <w:rsid w:val="006D1F0C"/>
    <w:rsid w:val="00721008"/>
    <w:rsid w:val="00777650"/>
    <w:rsid w:val="007849C2"/>
    <w:rsid w:val="007B634E"/>
    <w:rsid w:val="007C32F5"/>
    <w:rsid w:val="007F3501"/>
    <w:rsid w:val="00812200"/>
    <w:rsid w:val="00824FFE"/>
    <w:rsid w:val="00826FCB"/>
    <w:rsid w:val="00862F88"/>
    <w:rsid w:val="00887C8F"/>
    <w:rsid w:val="008936C6"/>
    <w:rsid w:val="008C77B2"/>
    <w:rsid w:val="008D3F2E"/>
    <w:rsid w:val="008D53B3"/>
    <w:rsid w:val="008E15AF"/>
    <w:rsid w:val="008F3348"/>
    <w:rsid w:val="00906C7A"/>
    <w:rsid w:val="009633CD"/>
    <w:rsid w:val="00963FDB"/>
    <w:rsid w:val="009758FC"/>
    <w:rsid w:val="0097685F"/>
    <w:rsid w:val="009A5F07"/>
    <w:rsid w:val="009C0F08"/>
    <w:rsid w:val="009F6F94"/>
    <w:rsid w:val="00A123C5"/>
    <w:rsid w:val="00A40B6E"/>
    <w:rsid w:val="00A41491"/>
    <w:rsid w:val="00A67F30"/>
    <w:rsid w:val="00A95833"/>
    <w:rsid w:val="00AA0D6B"/>
    <w:rsid w:val="00AC0BA8"/>
    <w:rsid w:val="00B002C5"/>
    <w:rsid w:val="00B31B6D"/>
    <w:rsid w:val="00B82CCB"/>
    <w:rsid w:val="00B8510B"/>
    <w:rsid w:val="00BA4C60"/>
    <w:rsid w:val="00BB2528"/>
    <w:rsid w:val="00BD5BC5"/>
    <w:rsid w:val="00BE0387"/>
    <w:rsid w:val="00C0467D"/>
    <w:rsid w:val="00C04E9A"/>
    <w:rsid w:val="00C2295E"/>
    <w:rsid w:val="00C514A9"/>
    <w:rsid w:val="00C61B5B"/>
    <w:rsid w:val="00C81285"/>
    <w:rsid w:val="00C871F7"/>
    <w:rsid w:val="00CD42E4"/>
    <w:rsid w:val="00CD641F"/>
    <w:rsid w:val="00D170A8"/>
    <w:rsid w:val="00D24677"/>
    <w:rsid w:val="00DB3BCE"/>
    <w:rsid w:val="00E00D18"/>
    <w:rsid w:val="00E273E0"/>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A1E394"/>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2D5763"/>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AF8D-4F25-4C4C-ABD4-68720B63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23</cp:revision>
  <dcterms:created xsi:type="dcterms:W3CDTF">2021-06-24T09:56:00Z</dcterms:created>
  <dcterms:modified xsi:type="dcterms:W3CDTF">2023-05-11T10:10:00Z</dcterms:modified>
</cp:coreProperties>
</file>