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35A22AB8" w14:textId="7C2E84B4" w:rsidR="00063EE1" w:rsidRDefault="00063EE1" w:rsidP="00063EE1">
      <w:pPr>
        <w:autoSpaceDE w:val="0"/>
        <w:autoSpaceDN w:val="0"/>
        <w:adjustRightInd w:val="0"/>
        <w:spacing w:after="120"/>
        <w:ind w:left="1080" w:hanging="36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Установка пожарных кранов с пожарными рукавами в цехах </w:t>
      </w:r>
      <w:proofErr w:type="gramStart"/>
      <w:r>
        <w:rPr>
          <w:rFonts w:eastAsiaTheme="minorHAnsi"/>
          <w:color w:val="000000"/>
          <w:sz w:val="22"/>
          <w:szCs w:val="22"/>
        </w:rPr>
        <w:t>РМГ,  малой</w:t>
      </w:r>
      <w:proofErr w:type="gramEnd"/>
      <w:r>
        <w:rPr>
          <w:rFonts w:eastAsiaTheme="minorHAnsi"/>
          <w:color w:val="000000"/>
          <w:sz w:val="22"/>
          <w:szCs w:val="22"/>
        </w:rPr>
        <w:t xml:space="preserve"> механизации,  авто гараже, материально – техническом складе.</w:t>
      </w: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BA388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263608A5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7E4C5F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01F674AB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7E4C5F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9C03AC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9C03AC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5A85F578" w:rsidR="00325B75" w:rsidRDefault="00050AE0" w:rsidP="009C03AC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AA7FDBE" w14:textId="77777777" w:rsidR="00BF3A22" w:rsidRPr="00D45818" w:rsidRDefault="00BF3A22" w:rsidP="009C03AC">
      <w:pPr>
        <w:tabs>
          <w:tab w:val="left" w:pos="284"/>
        </w:tabs>
        <w:spacing w:before="120"/>
      </w:pPr>
      <w:r w:rsidRPr="00D45818">
        <w:lastRenderedPageBreak/>
        <w:t>21.6. 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09BE2DB4" w14:textId="77777777" w:rsidR="00BF3A22" w:rsidRPr="00221ECD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  <w:lang w:eastAsia="en-US"/>
        </w:rPr>
      </w:pPr>
      <w:r w:rsidRPr="00221ECD">
        <w:rPr>
          <w:sz w:val="24"/>
          <w:szCs w:val="24"/>
          <w:lang w:eastAsia="en-US"/>
        </w:rPr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FEC1766" w14:textId="77777777" w:rsidR="00BF3A22" w:rsidRPr="00D45818" w:rsidRDefault="00BF3A22" w:rsidP="009C03AC">
      <w:pPr>
        <w:pStyle w:val="a4"/>
        <w:numPr>
          <w:ilvl w:val="1"/>
          <w:numId w:val="26"/>
        </w:numPr>
        <w:tabs>
          <w:tab w:val="left" w:pos="142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6026E5F1" w14:textId="4F50373A" w:rsidR="00BF3A22" w:rsidRDefault="00BF3A22" w:rsidP="009C03AC">
      <w:pPr>
        <w:pStyle w:val="a6"/>
        <w:tabs>
          <w:tab w:val="left" w:pos="142"/>
          <w:tab w:val="left" w:pos="993"/>
        </w:tabs>
        <w:rPr>
          <w:rFonts w:ascii="Times New Roman" w:hAnsi="Times New Roman" w:cs="Times New Roman"/>
        </w:rPr>
      </w:pPr>
    </w:p>
    <w:p w14:paraId="53637C65" w14:textId="77777777" w:rsidR="00BF3A22" w:rsidRPr="00A97395" w:rsidRDefault="00BF3A22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E9FE74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BF3A22">
        <w:rPr>
          <w:rFonts w:ascii="Times New Roman" w:hAnsi="Times New Roman" w:cs="Times New Roman"/>
          <w:b/>
        </w:rPr>
        <w:t>9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17FCD880" w14:textId="27797AB9" w:rsidR="00D74FDC" w:rsidRDefault="00D74FDC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Техническую спецификацию.</w:t>
      </w:r>
    </w:p>
    <w:p w14:paraId="4A712E46" w14:textId="7A65C772" w:rsidR="00050AE0" w:rsidRPr="008F7C10" w:rsidRDefault="00D74FDC" w:rsidP="00A6207E">
      <w:pPr>
        <w:pStyle w:val="a6"/>
        <w:tabs>
          <w:tab w:val="left" w:pos="142"/>
        </w:tabs>
        <w:ind w:left="709" w:hanging="56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21.</w:t>
      </w:r>
      <w:r w:rsidR="00BF3A2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 </w:t>
      </w:r>
      <w:r w:rsidR="00050AE0"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66E6659D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7E4C5F">
        <w:rPr>
          <w:b/>
          <w:bCs/>
          <w:iCs/>
        </w:rPr>
        <w:t>26</w:t>
      </w:r>
      <w:r w:rsidR="00721E6E" w:rsidRPr="002019D0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2FD5194C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7E4C5F">
        <w:rPr>
          <w:b/>
          <w:bCs/>
          <w:iCs/>
        </w:rPr>
        <w:t>26</w:t>
      </w:r>
      <w:r w:rsidR="00721E6E" w:rsidRPr="00A97395">
        <w:rPr>
          <w:b/>
          <w:bCs/>
          <w:iCs/>
        </w:rPr>
        <w:t>.</w:t>
      </w:r>
      <w:r w:rsidR="00BF3A22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lastRenderedPageBreak/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30F1AA39" w:rsidR="00B14951" w:rsidRPr="00E3799E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421C1F47" w14:textId="61BE1028" w:rsidR="00E3799E" w:rsidRPr="00E3799E" w:rsidRDefault="00E3799E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proofErr w:type="gramStart"/>
      <w:r>
        <w:rPr>
          <w:sz w:val="24"/>
          <w:szCs w:val="24"/>
        </w:rPr>
        <w:t>Смета .</w:t>
      </w:r>
      <w:proofErr w:type="gramEnd"/>
    </w:p>
    <w:p w14:paraId="537EACCA" w14:textId="4721F2B6" w:rsidR="00E3799E" w:rsidRPr="00615EEA" w:rsidRDefault="00E3799E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Проект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  <w:bookmarkStart w:id="5" w:name="_GoBack"/>
            <w:bookmarkEnd w:id="5"/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4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0BF8"/>
    <w:rsid w:val="000538F0"/>
    <w:rsid w:val="0006378B"/>
    <w:rsid w:val="00063EE1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67970"/>
    <w:rsid w:val="00271BDC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111F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4E2228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E4C5F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16B8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C03AC"/>
    <w:rsid w:val="009D429B"/>
    <w:rsid w:val="009E5D59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6207E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BF3A22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74FDC"/>
    <w:rsid w:val="00D944A3"/>
    <w:rsid w:val="00D947F9"/>
    <w:rsid w:val="00DB3AF7"/>
    <w:rsid w:val="00DB5613"/>
    <w:rsid w:val="00DD0C95"/>
    <w:rsid w:val="00DD17DE"/>
    <w:rsid w:val="00DF41BE"/>
    <w:rsid w:val="00DF5AE1"/>
    <w:rsid w:val="00E3799E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74725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D720-8991-4F9D-9D20-1D33C678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33</cp:revision>
  <cp:lastPrinted>2023-09-27T08:01:00Z</cp:lastPrinted>
  <dcterms:created xsi:type="dcterms:W3CDTF">2023-07-06T14:54:00Z</dcterms:created>
  <dcterms:modified xsi:type="dcterms:W3CDTF">2023-10-20T06:13:00Z</dcterms:modified>
</cp:coreProperties>
</file>