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ფოთის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პორტი,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300 ტ. =12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X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25 ტონ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ა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12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ბუქინგის ნომერი და საზღვაო ხაზი :</w:t>
      </w:r>
      <w:r>
        <w:rPr>
          <w:rFonts w:hint="default" w:ascii="SimSun" w:hAnsi="SimSun" w:eastAsia="SimSun"/>
          <w:sz w:val="24"/>
          <w:szCs w:val="24"/>
        </w:rPr>
        <w:t>12 MSC x 20 (Booking number: EBKG07499772 (loading ex Batumi)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სარკინიგზო გადაზიდვის შემთხვევაში,</w:t>
      </w:r>
      <w:r>
        <w:rPr>
          <w:rFonts w:ascii="Sylfaen" w:hAnsi="Sylfaen" w:eastAsia="Sylfaen" w:cs="Sylfaen"/>
          <w:i w:val="0"/>
          <w:iCs w:val="0"/>
          <w:caps w:val="0"/>
          <w:color w:val="141B3D"/>
          <w:spacing w:val="0"/>
          <w:sz w:val="21"/>
          <w:szCs w:val="21"/>
          <w:shd w:val="clear" w:fill="FFFFFF"/>
        </w:rPr>
        <w:t> 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/>
          <w:lang w:bidi="ka-GE"/>
        </w:rPr>
        <w:t>სარკინიგზო ბაქნებს შეუკვეთ</w:t>
      </w:r>
      <w:bookmarkStart w:id="0" w:name="_GoBack"/>
      <w:bookmarkEnd w:id="0"/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/>
          <w:lang w:bidi="ka-GE"/>
        </w:rPr>
        <w:t>ავს ჯორჯიან მანგანეზი და ნარიადსაც გააკეთებს რკინიგზაში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 w:val="0"/>
        </w:rPr>
        <w:t>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>06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01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17:00:00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CB728A9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FB091B"/>
    <w:rsid w:val="34060A6A"/>
    <w:rsid w:val="43DB0AC6"/>
    <w:rsid w:val="49FD6EE1"/>
    <w:rsid w:val="53C64479"/>
    <w:rsid w:val="54B45775"/>
    <w:rsid w:val="5D881E3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57</TotalTime>
  <ScaleCrop>false</ScaleCrop>
  <LinksUpToDate>false</LinksUpToDate>
  <CharactersWithSpaces>1919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2024-01-04T09:38:15Z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F8F29FAFC0354AFC89EA19FF54E63ECA</vt:lpwstr>
  </property>
</Properties>
</file>