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701FB870" w14:textId="1B086E13" w:rsidR="009815C7" w:rsidRPr="00E37C5C" w:rsidRDefault="0028539D" w:rsidP="002372DD">
      <w:pPr>
        <w:spacing w:after="0" w:line="240" w:lineRule="auto"/>
        <w:jc w:val="center"/>
        <w:rPr>
          <w:rFonts w:ascii="Sylfaen" w:hAnsi="Sylfaen" w:cs="Sylfaen"/>
          <w:b/>
        </w:rPr>
      </w:pPr>
      <w:r>
        <w:rPr>
          <w:noProof/>
        </w:rPr>
        <w:drawing>
          <wp:inline distT="0" distB="0" distL="0" distR="0" wp14:anchorId="64ACF567" wp14:editId="03FB5D5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1550" cy="1263094"/>
                    </a:xfrm>
                    <a:prstGeom prst="rect">
                      <a:avLst/>
                    </a:prstGeom>
                  </pic:spPr>
                </pic:pic>
              </a:graphicData>
            </a:graphic>
          </wp:inline>
        </w:drawing>
      </w:r>
      <w:r w:rsidR="007B332D">
        <w:rPr>
          <w:noProof/>
        </w:rPr>
        <w:t xml:space="preserve">        </w:t>
      </w:r>
      <w:r w:rsidR="007B332D">
        <w:rPr>
          <w:noProof/>
        </w:rPr>
        <w:drawing>
          <wp:inline distT="0" distB="0" distL="0" distR="0" wp14:anchorId="6FD61851" wp14:editId="33A95D0D">
            <wp:extent cx="2905692" cy="10420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1032" cy="1047536"/>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374B4FF6" w:rsidR="00A71E0B" w:rsidRPr="007B332D" w:rsidRDefault="003664A8" w:rsidP="00A71E0B">
      <w:pPr>
        <w:spacing w:after="0" w:line="240" w:lineRule="auto"/>
        <w:jc w:val="center"/>
        <w:rPr>
          <w:rFonts w:ascii="Sylfaen" w:hAnsi="Sylfaen" w:cs="Sylfaen"/>
          <w:b/>
        </w:rPr>
      </w:pPr>
      <w:r>
        <w:rPr>
          <w:rFonts w:ascii="Sylfaen" w:hAnsi="Sylfaen" w:cs="Sylfaen"/>
          <w:b/>
          <w:lang w:val="ka-GE"/>
        </w:rPr>
        <w:t>ინდივიდუალური დამცავი საშუალებების</w:t>
      </w:r>
      <w:r w:rsidR="00FF27F0">
        <w:rPr>
          <w:rFonts w:ascii="Sylfaen" w:hAnsi="Sylfaen" w:cs="Sylfaen"/>
          <w:b/>
          <w:lang w:val="ka-GE"/>
        </w:rPr>
        <w:t xml:space="preserve"> შესყიდვასთან </w:t>
      </w:r>
      <w:r w:rsidR="007B332D">
        <w:rPr>
          <w:rFonts w:ascii="Sylfaen" w:hAnsi="Sylfaen" w:cs="Sylfaen"/>
          <w:b/>
          <w:lang w:val="ka-GE"/>
        </w:rPr>
        <w:t xml:space="preserve">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4FA60DBF" w:rsidR="007B332D" w:rsidRDefault="007B332D" w:rsidP="00665C42">
      <w:pPr>
        <w:spacing w:after="0" w:line="360" w:lineRule="auto"/>
        <w:jc w:val="center"/>
        <w:rPr>
          <w:rFonts w:ascii="AcadNusx" w:hAnsi="AcadNusx"/>
          <w:b/>
        </w:rPr>
      </w:pPr>
    </w:p>
    <w:p w14:paraId="306A42F0" w14:textId="651FE3F5" w:rsidR="003664A8" w:rsidRDefault="003664A8" w:rsidP="00665C42">
      <w:pPr>
        <w:spacing w:after="0" w:line="360" w:lineRule="auto"/>
        <w:jc w:val="center"/>
        <w:rPr>
          <w:rFonts w:ascii="AcadNusx" w:hAnsi="AcadNusx"/>
          <w:b/>
        </w:rPr>
      </w:pPr>
    </w:p>
    <w:p w14:paraId="137922F8" w14:textId="6A871954" w:rsidR="003664A8" w:rsidRDefault="003664A8" w:rsidP="00665C42">
      <w:pPr>
        <w:spacing w:after="0" w:line="360" w:lineRule="auto"/>
        <w:jc w:val="center"/>
        <w:rPr>
          <w:rFonts w:ascii="AcadNusx" w:hAnsi="AcadNusx"/>
          <w:b/>
        </w:rPr>
      </w:pPr>
    </w:p>
    <w:p w14:paraId="5BE38BCC" w14:textId="11854A43" w:rsidR="003664A8" w:rsidRDefault="003664A8" w:rsidP="00665C42">
      <w:pPr>
        <w:spacing w:after="0" w:line="360" w:lineRule="auto"/>
        <w:jc w:val="center"/>
        <w:rPr>
          <w:rFonts w:ascii="AcadNusx" w:hAnsi="AcadNusx"/>
          <w:b/>
        </w:rPr>
      </w:pPr>
    </w:p>
    <w:p w14:paraId="417E9D45" w14:textId="42789C21" w:rsidR="003664A8" w:rsidRDefault="003664A8" w:rsidP="00665C42">
      <w:pPr>
        <w:spacing w:after="0" w:line="360" w:lineRule="auto"/>
        <w:jc w:val="center"/>
        <w:rPr>
          <w:rFonts w:ascii="AcadNusx" w:hAnsi="AcadNusx"/>
          <w:b/>
        </w:rPr>
      </w:pPr>
    </w:p>
    <w:p w14:paraId="280A7655" w14:textId="235109D7" w:rsidR="003664A8" w:rsidRDefault="003664A8" w:rsidP="00665C42">
      <w:pPr>
        <w:spacing w:after="0" w:line="360" w:lineRule="auto"/>
        <w:jc w:val="center"/>
        <w:rPr>
          <w:rFonts w:ascii="AcadNusx" w:hAnsi="AcadNusx"/>
          <w:b/>
        </w:rPr>
      </w:pPr>
    </w:p>
    <w:p w14:paraId="76F35465" w14:textId="53A940CB" w:rsidR="003664A8" w:rsidRDefault="003664A8" w:rsidP="00665C42">
      <w:pPr>
        <w:spacing w:after="0" w:line="360" w:lineRule="auto"/>
        <w:jc w:val="center"/>
        <w:rPr>
          <w:rFonts w:ascii="AcadNusx" w:hAnsi="AcadNusx"/>
          <w:b/>
        </w:rPr>
      </w:pPr>
    </w:p>
    <w:p w14:paraId="1F27A0F0" w14:textId="70C3D983" w:rsidR="003664A8" w:rsidRDefault="003664A8" w:rsidP="00665C42">
      <w:pPr>
        <w:spacing w:after="0" w:line="360" w:lineRule="auto"/>
        <w:jc w:val="center"/>
        <w:rPr>
          <w:rFonts w:ascii="AcadNusx" w:hAnsi="AcadNusx"/>
          <w:b/>
        </w:rPr>
      </w:pPr>
    </w:p>
    <w:p w14:paraId="247C65DC" w14:textId="16D8DC37" w:rsidR="003664A8" w:rsidRDefault="003664A8" w:rsidP="00665C42">
      <w:pPr>
        <w:spacing w:after="0" w:line="360" w:lineRule="auto"/>
        <w:jc w:val="center"/>
        <w:rPr>
          <w:rFonts w:ascii="AcadNusx" w:hAnsi="AcadNusx"/>
          <w:b/>
        </w:rPr>
      </w:pPr>
    </w:p>
    <w:p w14:paraId="1884E64D" w14:textId="0E0E80F8" w:rsidR="003664A8" w:rsidRDefault="003664A8"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C3457DE" w14:textId="585B2B15" w:rsidR="004272D2" w:rsidRPr="0008159C" w:rsidRDefault="00D30223" w:rsidP="0008159C">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3664A8">
        <w:rPr>
          <w:rFonts w:ascii="Sylfaen" w:hAnsi="Sylfaen" w:cs="Arial"/>
          <w:lang w:val="ka-GE"/>
        </w:rPr>
        <w:t xml:space="preserve">, </w:t>
      </w:r>
      <w:r w:rsidR="00DD1FDF">
        <w:rPr>
          <w:rFonts w:ascii="Sylfaen" w:hAnsi="Sylfaen" w:cs="Arial"/>
          <w:lang w:val="ka-GE"/>
        </w:rPr>
        <w:t xml:space="preserve">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B332D">
        <w:rPr>
          <w:rFonts w:ascii="Sylfaen" w:hAnsi="Sylfaen" w:cs="Arial"/>
        </w:rPr>
        <w:t xml:space="preserve"> </w:t>
      </w:r>
      <w:r w:rsidR="007B332D">
        <w:rPr>
          <w:rFonts w:ascii="Sylfaen" w:hAnsi="Sylfaen" w:cs="Arial"/>
          <w:lang w:val="ka-GE"/>
        </w:rPr>
        <w:t>და შპს „საგურამო ენერჯი“ (</w:t>
      </w:r>
      <w:r w:rsidR="007B332D">
        <w:rPr>
          <w:rFonts w:ascii="Sylfaen" w:hAnsi="Sylfaen" w:cs="Arial"/>
        </w:rPr>
        <w:t xml:space="preserve">SENG, </w:t>
      </w:r>
      <w:r w:rsidR="007B332D">
        <w:rPr>
          <w:rFonts w:ascii="Sylfaen" w:hAnsi="Sylfaen" w:cs="Arial"/>
          <w:lang w:val="ka-GE"/>
        </w:rPr>
        <w:t xml:space="preserve">ს/კ </w:t>
      </w:r>
      <w:r w:rsidR="007B332D" w:rsidRPr="007B332D">
        <w:rPr>
          <w:rFonts w:ascii="Sylfaen" w:hAnsi="Sylfaen" w:cs="Arial"/>
          <w:lang w:val="ka-GE"/>
        </w:rPr>
        <w:t>206337007</w:t>
      </w:r>
      <w:r w:rsidR="00713EFC" w:rsidRPr="0028539D">
        <w:rPr>
          <w:rFonts w:ascii="Arial" w:hAnsi="Arial" w:cs="Arial"/>
          <w:lang w:val="ka-GE"/>
        </w:rPr>
        <w:t xml:space="preserve"> </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3664A8" w:rsidRPr="003664A8">
        <w:rPr>
          <w:rFonts w:ascii="Sylfaen" w:hAnsi="Sylfaen" w:cs="Sylfaen"/>
          <w:b/>
          <w:lang w:val="ka-GE"/>
        </w:rPr>
        <w:t>ინდივიდუალური</w:t>
      </w:r>
      <w:r w:rsidR="003664A8">
        <w:rPr>
          <w:rFonts w:ascii="Sylfaen" w:hAnsi="Sylfaen" w:cs="Sylfaen"/>
          <w:lang w:val="ka-GE"/>
        </w:rPr>
        <w:t xml:space="preserve"> </w:t>
      </w:r>
      <w:r w:rsidR="003664A8">
        <w:rPr>
          <w:rFonts w:ascii="Sylfaen" w:hAnsi="Sylfaen" w:cs="Sylfaen"/>
          <w:b/>
          <w:lang w:val="ka-GE"/>
        </w:rPr>
        <w:t>დამცავი საშუალებების</w:t>
      </w:r>
      <w:r w:rsidR="0008159C">
        <w:rPr>
          <w:rFonts w:ascii="Sylfaen" w:hAnsi="Sylfaen" w:cs="Sylfaen"/>
          <w:b/>
        </w:rPr>
        <w:t xml:space="preserve"> </w:t>
      </w:r>
      <w:r w:rsidR="0008159C">
        <w:rPr>
          <w:rFonts w:ascii="Sylfaen" w:hAnsi="Sylfaen" w:cs="Sylfaen"/>
          <w:b/>
          <w:lang w:val="ka-GE"/>
        </w:rPr>
        <w:t xml:space="preserve">შესყიდვასთან დაკავშირებით. </w:t>
      </w: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0B60437" w14:textId="62B341FC" w:rsidR="00040F48" w:rsidRPr="00040F48" w:rsidRDefault="005B1472" w:rsidP="005B1472">
      <w:pPr>
        <w:jc w:val="both"/>
        <w:rPr>
          <w:rFonts w:ascii="Sylfaen" w:hAnsi="Sylfaen"/>
          <w:lang w:val="ka-GE"/>
        </w:rPr>
      </w:pPr>
      <w:r w:rsidRPr="005B1472">
        <w:rPr>
          <w:rFonts w:ascii="Sylfaen" w:hAnsi="Sylfaen" w:cs="Sylfaen"/>
          <w:lang w:val="ka-GE"/>
        </w:rPr>
        <w:t>წინამდებარე ტენდერში გამარჯვებული კომპანი</w:t>
      </w:r>
      <w:r w:rsidR="007B332D">
        <w:rPr>
          <w:rFonts w:ascii="Sylfaen" w:hAnsi="Sylfaen" w:cs="Sylfaen"/>
          <w:lang w:val="ka-GE"/>
        </w:rPr>
        <w:t>(ებ)</w:t>
      </w:r>
      <w:r w:rsidR="00851FD1">
        <w:rPr>
          <w:rFonts w:ascii="Sylfaen" w:hAnsi="Sylfaen" w:cs="Sylfaen"/>
          <w:lang w:val="ka-GE"/>
        </w:rPr>
        <w:t xml:space="preserve">ა ვალდებულია უზრუნველყოს </w:t>
      </w:r>
      <w:r w:rsidR="00E65363">
        <w:rPr>
          <w:rFonts w:ascii="Sylfaen" w:hAnsi="Sylfaen" w:cs="Sylfaen"/>
          <w:lang w:val="ka-GE"/>
        </w:rPr>
        <w:t>დანართი N</w:t>
      </w:r>
      <w:r w:rsidR="005D30A2">
        <w:rPr>
          <w:rFonts w:ascii="Sylfaen" w:hAnsi="Sylfaen" w:cs="Sylfaen"/>
          <w:lang w:val="ka-GE"/>
        </w:rPr>
        <w:t>1</w:t>
      </w:r>
      <w:r w:rsidR="00E65363">
        <w:rPr>
          <w:rFonts w:ascii="Sylfaen" w:hAnsi="Sylfaen" w:cs="Sylfaen"/>
          <w:lang w:val="ka-GE"/>
        </w:rPr>
        <w:t>-ით</w:t>
      </w:r>
      <w:r w:rsidR="00A3171A">
        <w:rPr>
          <w:rFonts w:ascii="Sylfaen" w:hAnsi="Sylfaen" w:cs="Sylfaen"/>
          <w:lang w:val="ka-GE"/>
        </w:rPr>
        <w:t xml:space="preserve"> განსაზღვრულ</w:t>
      </w:r>
      <w:r w:rsidR="007B332D">
        <w:rPr>
          <w:rFonts w:ascii="Sylfaen" w:hAnsi="Sylfaen" w:cs="Sylfaen"/>
          <w:lang w:val="ka-GE"/>
        </w:rPr>
        <w:t>ი</w:t>
      </w:r>
      <w:r w:rsidRPr="005B1472">
        <w:rPr>
          <w:rFonts w:ascii="Sylfaen" w:hAnsi="Sylfaen" w:cs="Sylfaen"/>
          <w:lang w:val="ka-GE"/>
        </w:rPr>
        <w:t xml:space="preserve"> </w:t>
      </w:r>
      <w:r w:rsidR="00040F48">
        <w:rPr>
          <w:rFonts w:ascii="Sylfaen" w:hAnsi="Sylfaen"/>
          <w:lang w:val="ka-GE"/>
        </w:rPr>
        <w:t xml:space="preserve">პოზიციების მოწოდება ერთი წლის ჭრილში მიახლოებითი რაოდენობის გათვალისწინებით </w:t>
      </w:r>
      <w:r w:rsidR="00FE5F95">
        <w:rPr>
          <w:rFonts w:ascii="Sylfaen" w:hAnsi="Sylfaen"/>
          <w:lang w:val="ka-GE"/>
        </w:rPr>
        <w:t xml:space="preserve">ტენდერში დაფიქსირებული ფასით. </w:t>
      </w:r>
      <w:r w:rsidR="00040F48">
        <w:rPr>
          <w:rFonts w:ascii="Sylfaen" w:hAnsi="Sylfaen"/>
          <w:lang w:val="ka-GE"/>
        </w:rPr>
        <w:t xml:space="preserve"> </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E22C564" w14:textId="77777777" w:rsidR="005D30A2" w:rsidRDefault="005D30A2" w:rsidP="00153785">
      <w:pPr>
        <w:spacing w:line="240" w:lineRule="auto"/>
        <w:rPr>
          <w:rFonts w:ascii="Sylfaen" w:hAnsi="Sylfaen" w:cs="Sylfaen"/>
          <w:lang w:val="ka-GE"/>
        </w:rPr>
      </w:pPr>
    </w:p>
    <w:p w14:paraId="036008C2" w14:textId="7E97C510" w:rsidR="000353F8" w:rsidRDefault="00E65363" w:rsidP="00040F48">
      <w:pPr>
        <w:spacing w:line="240" w:lineRule="auto"/>
        <w:jc w:val="both"/>
        <w:rPr>
          <w:rFonts w:ascii="Sylfaen" w:hAnsi="Sylfaen" w:cs="Sylfaen"/>
          <w:lang w:val="ka-GE"/>
        </w:rPr>
      </w:pPr>
      <w:r>
        <w:rPr>
          <w:rFonts w:ascii="Sylfaen" w:hAnsi="Sylfaen" w:cs="Sylfaen"/>
          <w:lang w:val="ka-GE"/>
        </w:rPr>
        <w:t>დამცავი საშუალებები</w:t>
      </w:r>
      <w:r w:rsidR="005D30A2">
        <w:rPr>
          <w:rFonts w:ascii="Sylfaen" w:hAnsi="Sylfaen" w:cs="Sylfaen"/>
          <w:lang w:val="ka-GE"/>
        </w:rPr>
        <w:t>ს და საგზამო დამცავი ნიშნების</w:t>
      </w:r>
      <w:r>
        <w:rPr>
          <w:rFonts w:ascii="Sylfaen" w:hAnsi="Sylfaen" w:cs="Sylfaen"/>
          <w:lang w:val="ka-GE"/>
        </w:rPr>
        <w:t xml:space="preserve"> - სპეციფიკაცია, </w:t>
      </w:r>
      <w:r w:rsidR="00040F48">
        <w:rPr>
          <w:rFonts w:ascii="Sylfaen" w:hAnsi="Sylfaen" w:cs="Sylfaen"/>
          <w:lang w:val="ka-GE"/>
        </w:rPr>
        <w:t xml:space="preserve">კომპანიების მიხედვით და </w:t>
      </w:r>
      <w:r>
        <w:rPr>
          <w:rFonts w:ascii="Sylfaen" w:hAnsi="Sylfaen" w:cs="Sylfaen"/>
          <w:lang w:val="ka-GE"/>
        </w:rPr>
        <w:t xml:space="preserve">კონსოლიდირებული </w:t>
      </w:r>
      <w:r w:rsidR="00040F48">
        <w:rPr>
          <w:rFonts w:ascii="Sylfaen" w:hAnsi="Sylfaen" w:cs="Sylfaen"/>
          <w:lang w:val="ka-GE"/>
        </w:rPr>
        <w:t xml:space="preserve">მიახლოებითი წლიური </w:t>
      </w:r>
      <w:r>
        <w:rPr>
          <w:rFonts w:ascii="Sylfaen" w:hAnsi="Sylfaen" w:cs="Sylfaen"/>
          <w:lang w:val="ka-GE"/>
        </w:rPr>
        <w:t>რაოდენობა და მოწოდების პერიოდულობა</w:t>
      </w:r>
      <w:r w:rsidR="007B332D">
        <w:rPr>
          <w:rFonts w:ascii="Sylfaen" w:hAnsi="Sylfaen" w:cs="Sylfaen"/>
          <w:lang w:val="ka-GE"/>
        </w:rPr>
        <w:t xml:space="preserve"> მოცემულია დანართი N1-ის სახით. </w:t>
      </w:r>
    </w:p>
    <w:p w14:paraId="770C26CC" w14:textId="29946DA9" w:rsidR="000B1F3B" w:rsidRPr="00F45EB8" w:rsidRDefault="000B1F3B"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67218C66" w14:textId="6ED40543" w:rsidR="00040F48" w:rsidRDefault="00E65363" w:rsidP="00FE5F95">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დანართ N1-ში</w:t>
      </w:r>
      <w:r w:rsidR="007B332D" w:rsidRPr="00A82C8B">
        <w:rPr>
          <w:rFonts w:ascii="Sylfaen" w:hAnsi="Sylfaen" w:cs="Sylfaen"/>
          <w:bCs/>
          <w:i/>
          <w:lang w:val="ka-GE"/>
        </w:rPr>
        <w:t xml:space="preserve"> წარმოდგენილი ფოტომასალა არის საორიენტაციო და არა კონკრეტული მოთხოვნა. </w:t>
      </w:r>
    </w:p>
    <w:p w14:paraId="56DAD745" w14:textId="6103E277" w:rsidR="00FE5F95" w:rsidRPr="00FE5F95" w:rsidRDefault="00FE5F95" w:rsidP="00FE5F95">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რაოდენობა მოცემული არის საორიენტაციოდ. დამკვეთი იტოვებს უფლებას ჩარჩო ხელშეკრულების გაფორმების შემდეგ წლის ჭრილში გაზარდოს ან შეამციროს შესასყიდი პოზიციების რაოდენობა, რაზეც შერჩეულ კომპანიას არ უნდა ქონდეს პრეტენზია და აღნიშნულმა გარემოებამ არ უნდა იმოქმედოს ფასზე.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22ED6269"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E65363">
        <w:rPr>
          <w:rFonts w:ascii="Sylfaen" w:hAnsi="Sylfaen" w:cs="Sylfaen"/>
          <w:color w:val="222222"/>
          <w:shd w:val="clear" w:color="auto" w:fill="FFFFFF"/>
          <w:lang w:val="ka-GE"/>
        </w:rPr>
        <w:t>1</w:t>
      </w:r>
      <w:r w:rsidR="00D5623D">
        <w:rPr>
          <w:rFonts w:ascii="Sylfaen" w:hAnsi="Sylfaen" w:cs="Sylfaen"/>
          <w:color w:val="222222"/>
          <w:shd w:val="clear" w:color="auto" w:fill="FFFFFF"/>
          <w:lang w:val="ka-GE"/>
        </w:rPr>
        <w:t>-ის</w:t>
      </w:r>
      <w:r w:rsidR="00E65363">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30187690" w14:textId="2C75F03F" w:rsidR="00E65363" w:rsidRPr="00040F48" w:rsidRDefault="00E65363" w:rsidP="00040F48">
      <w:pPr>
        <w:jc w:val="both"/>
        <w:rPr>
          <w:rFonts w:ascii="Sylfaen" w:hAnsi="Sylfaen" w:cs="Sylfaen"/>
          <w:color w:val="FF0000"/>
          <w:u w:val="single"/>
          <w:shd w:val="clear" w:color="auto" w:fill="FFFFFF"/>
          <w:lang w:val="ka-GE"/>
        </w:rPr>
      </w:pPr>
      <w:r w:rsidRPr="00040F48">
        <w:rPr>
          <w:rFonts w:ascii="Sylfaen" w:hAnsi="Sylfaen" w:cs="Sylfaen"/>
          <w:color w:val="FF0000"/>
          <w:u w:val="single"/>
          <w:shd w:val="clear" w:color="auto" w:fill="FFFFFF"/>
          <w:lang w:val="ka-GE"/>
        </w:rPr>
        <w:t xml:space="preserve">პრეტენდეტნმა შეიძლება მონაწილეობა მიიღოს როგორც </w:t>
      </w:r>
      <w:r w:rsidR="005D30A2" w:rsidRPr="00040F48">
        <w:rPr>
          <w:rFonts w:ascii="Sylfaen" w:hAnsi="Sylfaen" w:cs="Sylfaen"/>
          <w:color w:val="FF0000"/>
          <w:u w:val="single"/>
          <w:shd w:val="clear" w:color="auto" w:fill="FFFFFF"/>
          <w:lang w:val="ka-GE"/>
        </w:rPr>
        <w:t xml:space="preserve">სრულ </w:t>
      </w:r>
      <w:r w:rsidRPr="00040F48">
        <w:rPr>
          <w:rFonts w:ascii="Sylfaen" w:hAnsi="Sylfaen" w:cs="Sylfaen"/>
          <w:color w:val="FF0000"/>
          <w:u w:val="single"/>
          <w:shd w:val="clear" w:color="auto" w:fill="FFFFFF"/>
          <w:lang w:val="ka-GE"/>
        </w:rPr>
        <w:t>ლ</w:t>
      </w:r>
      <w:r w:rsidR="005D30A2" w:rsidRPr="00040F48">
        <w:rPr>
          <w:rFonts w:ascii="Sylfaen" w:hAnsi="Sylfaen" w:cs="Sylfaen"/>
          <w:color w:val="FF0000"/>
          <w:u w:val="single"/>
          <w:shd w:val="clear" w:color="auto" w:fill="FFFFFF"/>
          <w:lang w:val="ka-GE"/>
        </w:rPr>
        <w:t xml:space="preserve">ოტზე, ასევე ცალკეული </w:t>
      </w:r>
      <w:r w:rsidRPr="00040F48">
        <w:rPr>
          <w:rFonts w:ascii="Sylfaen" w:hAnsi="Sylfaen" w:cs="Sylfaen"/>
          <w:color w:val="FF0000"/>
          <w:u w:val="single"/>
          <w:shd w:val="clear" w:color="auto" w:fill="FFFFFF"/>
          <w:lang w:val="ka-GE"/>
        </w:rPr>
        <w:t xml:space="preserve">პოზიციებით. </w:t>
      </w:r>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104B1742" w:rsidR="001C6888" w:rsidRPr="004B7339" w:rsidRDefault="003657A5" w:rsidP="00040F48">
      <w:pPr>
        <w:jc w:val="both"/>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w:t>
      </w:r>
      <w:r w:rsidR="003664A8">
        <w:rPr>
          <w:rFonts w:ascii="Sylfaen" w:hAnsi="Sylfaen" w:cs="Sylfaen"/>
          <w:lang w:val="ka-GE"/>
        </w:rPr>
        <w:t>პირობის</w:t>
      </w:r>
      <w:r w:rsidR="00E65363">
        <w:rPr>
          <w:rFonts w:ascii="Sylfaen" w:hAnsi="Sylfaen" w:cs="Sylfaen"/>
          <w:lang w:val="ka-GE"/>
        </w:rPr>
        <w:t xml:space="preserve"> მიხედვით.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lastRenderedPageBreak/>
        <w:t xml:space="preserve">მისამართები </w:t>
      </w:r>
      <w:r w:rsidR="00F64D93">
        <w:rPr>
          <w:rFonts w:ascii="Sylfaen" w:hAnsi="Sylfaen" w:cs="Sylfaen"/>
          <w:lang w:val="ka-GE"/>
        </w:rPr>
        <w:t xml:space="preserve">კომპანიების მიხედვით: </w:t>
      </w:r>
    </w:p>
    <w:p w14:paraId="10596226" w14:textId="247B559A" w:rsidR="00F64D93" w:rsidRDefault="00F64D93" w:rsidP="001760C2">
      <w:pPr>
        <w:rPr>
          <w:rFonts w:ascii="Sylfaen" w:hAnsi="Sylfaen" w:cs="Sylfaen"/>
          <w:lang w:val="ka-GE"/>
        </w:rPr>
      </w:pPr>
      <w:r>
        <w:rPr>
          <w:rFonts w:ascii="Sylfaen" w:hAnsi="Sylfaen" w:cs="Sylfaen"/>
          <w:lang w:val="ka-GE"/>
        </w:rPr>
        <w:t>შპს ჯორჯიან უოთერ ენდ ფაუერი“ -</w:t>
      </w:r>
      <w:r w:rsidR="003664A8">
        <w:rPr>
          <w:rFonts w:ascii="Sylfaen" w:hAnsi="Sylfaen" w:cs="Sylfaen"/>
          <w:lang w:val="ka-GE"/>
        </w:rPr>
        <w:t xml:space="preserve"> თბილისი, </w:t>
      </w:r>
      <w:r>
        <w:rPr>
          <w:rFonts w:ascii="Sylfaen" w:hAnsi="Sylfaen" w:cs="Sylfaen"/>
          <w:lang w:val="ka-GE"/>
        </w:rPr>
        <w:t xml:space="preserve"> ქ თბილისი, წყალსადენის ქ 7</w:t>
      </w:r>
    </w:p>
    <w:p w14:paraId="25C36659" w14:textId="4FA20E16" w:rsidR="00F64D93" w:rsidRDefault="003664A8" w:rsidP="001760C2">
      <w:pPr>
        <w:rPr>
          <w:rFonts w:ascii="Sylfaen" w:hAnsi="Sylfaen" w:cs="Sylfaen"/>
          <w:lang w:val="ka-GE"/>
        </w:rPr>
      </w:pPr>
      <w:r>
        <w:rPr>
          <w:rFonts w:ascii="Sylfaen" w:hAnsi="Sylfaen" w:cs="Sylfaen"/>
          <w:lang w:val="ka-GE"/>
        </w:rPr>
        <w:t>შპს ჯორჯიან უოთერ ენდ ფაუერი“ -</w:t>
      </w:r>
      <w:r>
        <w:rPr>
          <w:rFonts w:ascii="Sylfaen" w:hAnsi="Sylfaen" w:cs="Sylfaen"/>
          <w:lang w:val="ka-GE"/>
        </w:rPr>
        <w:t xml:space="preserve"> რუსთავი</w:t>
      </w:r>
      <w:r>
        <w:rPr>
          <w:rFonts w:ascii="Sylfaen" w:hAnsi="Sylfaen" w:cs="Sylfaen"/>
          <w:lang w:val="ka-GE"/>
        </w:rPr>
        <w:t xml:space="preserve">,  </w:t>
      </w:r>
      <w:r w:rsidR="00F64D93">
        <w:rPr>
          <w:rFonts w:ascii="Sylfaen" w:hAnsi="Sylfaen" w:cs="Sylfaen"/>
          <w:lang w:val="ka-GE"/>
        </w:rPr>
        <w:t>ქ. რუსთავი, წმ ნინოს ქ 5</w:t>
      </w:r>
    </w:p>
    <w:p w14:paraId="6524A5D3" w14:textId="12596107" w:rsidR="00F64D93" w:rsidRDefault="00F64D93" w:rsidP="001760C2">
      <w:pPr>
        <w:rPr>
          <w:rFonts w:ascii="Sylfaen" w:hAnsi="Sylfaen" w:cs="Sylfaen"/>
          <w:lang w:val="ka-GE"/>
        </w:rPr>
      </w:pPr>
      <w:r>
        <w:rPr>
          <w:rFonts w:ascii="Sylfaen" w:hAnsi="Sylfaen" w:cs="Sylfaen"/>
          <w:lang w:val="ka-GE"/>
        </w:rPr>
        <w:t xml:space="preserve">შპს „გარდაბნის გამწმენდი ნაგებობა“ - ქ. გარდაბანი, ყოფილი თბილსრესის მიმდებარე ტერიტორია </w:t>
      </w:r>
    </w:p>
    <w:p w14:paraId="09EC0AF6" w14:textId="485F50C4" w:rsidR="00F64D93" w:rsidRDefault="00F64D93" w:rsidP="001760C2">
      <w:pPr>
        <w:rPr>
          <w:rFonts w:ascii="Sylfaen" w:hAnsi="Sylfaen" w:cs="Sylfaen"/>
          <w:lang w:val="ka-GE"/>
        </w:rPr>
      </w:pPr>
      <w:r>
        <w:rPr>
          <w:rFonts w:ascii="Sylfaen" w:hAnsi="Sylfaen" w:cs="Sylfaen"/>
          <w:lang w:val="ka-GE"/>
        </w:rPr>
        <w:t xml:space="preserve">შპს „ საგურამო ენერჯი“ - საგურამო. </w:t>
      </w:r>
    </w:p>
    <w:p w14:paraId="235A0A28" w14:textId="77777777" w:rsidR="00F64D93" w:rsidRDefault="00F64D93" w:rsidP="001760C2">
      <w:pPr>
        <w:rPr>
          <w:rFonts w:ascii="Sylfaen" w:hAnsi="Sylfaen" w:cs="Sylfaen"/>
          <w:lang w:val="ka-GE"/>
        </w:rPr>
      </w:pPr>
    </w:p>
    <w:p w14:paraId="5938AB18" w14:textId="3D26BDFE" w:rsidR="001760C2" w:rsidRPr="00B11405" w:rsidRDefault="00DC454F" w:rsidP="00FD35B5">
      <w:pPr>
        <w:rPr>
          <w:rFonts w:ascii="Sylfaen" w:hAnsi="Sylfaen" w:cs="Arial"/>
          <w:lang w:val="ka-GE"/>
        </w:rPr>
      </w:pPr>
      <w:r w:rsidRPr="00DC454F">
        <w:rPr>
          <w:rFonts w:ascii="Sylfaen" w:hAnsi="Sylfaen" w:cs="Sylfaen"/>
          <w:b/>
          <w:lang w:val="ka-GE"/>
        </w:rPr>
        <w:t>შენიშვნა:</w:t>
      </w:r>
      <w:r>
        <w:rPr>
          <w:rFonts w:ascii="Sylfaen" w:hAnsi="Sylfaen" w:cs="Sylfaen"/>
          <w:b/>
          <w:lang w:val="ka-GE"/>
        </w:rPr>
        <w:t xml:space="preserve"> </w:t>
      </w:r>
      <w:r>
        <w:rPr>
          <w:rFonts w:ascii="Sylfaen" w:hAnsi="Sylfaen" w:cs="Sylfaen"/>
          <w:lang w:val="ka-GE"/>
        </w:rPr>
        <w:t>ცალკეულ შემთხვევებში შემს</w:t>
      </w:r>
      <w:r w:rsidR="00B04164">
        <w:rPr>
          <w:rFonts w:ascii="Sylfaen" w:hAnsi="Sylfaen" w:cs="Sylfaen"/>
          <w:lang w:val="ka-GE"/>
        </w:rPr>
        <w:t xml:space="preserve">ყიდველი იტოვებს უფლებას </w:t>
      </w:r>
      <w:r w:rsidR="00F64D93">
        <w:rPr>
          <w:rFonts w:ascii="Sylfaen" w:hAnsi="Sylfaen" w:cs="Sylfaen"/>
          <w:lang w:val="ka-GE"/>
        </w:rPr>
        <w:t>საქონლის</w:t>
      </w:r>
      <w:r>
        <w:rPr>
          <w:rFonts w:ascii="Sylfaen" w:hAnsi="Sylfaen" w:cs="Sylfaen"/>
          <w:lang w:val="ka-GE"/>
        </w:rPr>
        <w:t xml:space="preserve"> მიწოდება მოითხოვოს განსხვავებულ ლოკა</w:t>
      </w:r>
      <w:r w:rsidR="00B04164">
        <w:rPr>
          <w:rFonts w:ascii="Sylfaen" w:hAnsi="Sylfaen" w:cs="Sylfaen"/>
          <w:lang w:val="ka-GE"/>
        </w:rPr>
        <w:t>ცი</w:t>
      </w:r>
      <w:r w:rsidR="0028539D">
        <w:rPr>
          <w:rFonts w:ascii="Sylfaen" w:hAnsi="Sylfaen" w:cs="Sylfaen"/>
          <w:lang w:val="ka-GE"/>
        </w:rPr>
        <w:t>ა</w:t>
      </w:r>
      <w:r w:rsidR="00B04164">
        <w:rPr>
          <w:rFonts w:ascii="Sylfaen" w:hAnsi="Sylfaen" w:cs="Sylfaen"/>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4CCDC7FD" w:rsidR="00C86727" w:rsidRDefault="00E711C6" w:rsidP="00E711C6">
      <w:pPr>
        <w:spacing w:after="0" w:line="240" w:lineRule="auto"/>
        <w:rPr>
          <w:rFonts w:ascii="Sylfaen" w:hAnsi="Sylfaen" w:cs="Sylfaen"/>
          <w:b/>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0D7E217C" w14:textId="77777777" w:rsidR="003664A8" w:rsidRPr="00E711C6" w:rsidRDefault="003664A8" w:rsidP="00E711C6">
      <w:pPr>
        <w:spacing w:after="0" w:line="240" w:lineRule="auto"/>
        <w:rPr>
          <w:rFonts w:ascii="Sylfaen" w:hAnsi="Sylfaen"/>
          <w:lang w:val="ka-GE"/>
        </w:rPr>
      </w:pPr>
    </w:p>
    <w:p w14:paraId="57484F93" w14:textId="13B5C155" w:rsidR="00000015" w:rsidRPr="00040F48" w:rsidRDefault="00000015" w:rsidP="00040F48">
      <w:pPr>
        <w:spacing w:after="0" w:line="360" w:lineRule="auto"/>
        <w:jc w:val="both"/>
        <w:rPr>
          <w:rFonts w:ascii="Sylfaen" w:hAnsi="Sylfaen" w:cs="Sylfaen"/>
          <w:lang w:val="ka-GE"/>
        </w:rPr>
      </w:pPr>
      <w:r w:rsidRPr="00040F48">
        <w:rPr>
          <w:rFonts w:ascii="Sylfaen" w:hAnsi="Sylfaen" w:cs="Sylfaen"/>
          <w:lang w:val="ka-GE"/>
        </w:rPr>
        <w:t xml:space="preserve">ანგარიშსწორება მოხდება კონსიგნაციის წესით, უნაღდო ანგარიშსწორებით </w:t>
      </w:r>
      <w:r w:rsidR="003F47C3" w:rsidRPr="00040F48">
        <w:rPr>
          <w:rFonts w:ascii="Sylfaen" w:hAnsi="Sylfaen" w:cs="Sylfaen"/>
          <w:lang w:val="ka-GE"/>
        </w:rPr>
        <w:t>მომსახურების მიღებიდან</w:t>
      </w:r>
      <w:r w:rsidR="00C86727" w:rsidRPr="00040F48">
        <w:rPr>
          <w:rFonts w:ascii="Sylfaen" w:hAnsi="Sylfaen" w:cs="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642726BA"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E65363">
        <w:rPr>
          <w:rFonts w:ascii="Sylfaen" w:hAnsi="Sylfaen" w:cs="Sylfaen"/>
          <w:lang w:val="ka-GE"/>
        </w:rPr>
        <w:t>1</w:t>
      </w:r>
      <w:r w:rsidRPr="00F64D93">
        <w:rPr>
          <w:rFonts w:ascii="Sylfaen" w:hAnsi="Sylfaen" w:cs="Sylfaen"/>
          <w:lang w:val="ka-GE"/>
        </w:rPr>
        <w:t>-ის</w:t>
      </w:r>
      <w:r w:rsidR="00E65363">
        <w:rPr>
          <w:rFonts w:ascii="Sylfaen" w:hAnsi="Sylfaen" w:cs="Sylfaen"/>
          <w:lang w:val="ka-GE"/>
        </w:rPr>
        <w:t xml:space="preserve"> </w:t>
      </w:r>
      <w:r w:rsidRPr="00F64D93">
        <w:rPr>
          <w:rFonts w:ascii="Sylfaen" w:hAnsi="Sylfaen" w:cs="Sylfaen"/>
          <w:lang w:val="ka-GE"/>
        </w:rPr>
        <w:t>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ფასი (ეროვნულ ვალუტაში ყველა გადასახადის გათვალისწინებით), </w:t>
      </w:r>
      <w:r w:rsidRPr="00F64D93">
        <w:rPr>
          <w:rFonts w:ascii="Sylfaen" w:hAnsi="Sylfaen" w:cs="Sylfaen"/>
          <w:lang w:val="ka-GE"/>
        </w:rPr>
        <w:t>მოწოდების ვადა</w:t>
      </w:r>
      <w:r w:rsidR="005D30A2">
        <w:rPr>
          <w:rFonts w:ascii="Sylfaen" w:hAnsi="Sylfaen" w:cs="Sylfaen"/>
          <w:lang w:val="ka-GE"/>
        </w:rPr>
        <w:t xml:space="preserve"> - ეტაპობრივ</w:t>
      </w:r>
      <w:r w:rsidR="00040F48">
        <w:rPr>
          <w:rFonts w:ascii="Sylfaen" w:hAnsi="Sylfaen" w:cs="Sylfaen"/>
          <w:lang w:val="ka-GE"/>
        </w:rPr>
        <w:t>ი შემოტანებისათვის პირველი შემოტ</w:t>
      </w:r>
      <w:r w:rsidR="005D30A2">
        <w:rPr>
          <w:rFonts w:ascii="Sylfaen" w:hAnsi="Sylfaen" w:cs="Sylfaen"/>
          <w:lang w:val="ka-GE"/>
        </w:rPr>
        <w:t>ანის მითითებით და შემდგომი შემოტანისათვის წინასწარი შეტყობინების მიღ</w:t>
      </w:r>
      <w:r w:rsidR="00040F48">
        <w:rPr>
          <w:rFonts w:ascii="Sylfaen" w:hAnsi="Sylfaen" w:cs="Sylfaen"/>
          <w:lang w:val="ka-GE"/>
        </w:rPr>
        <w:t>ე</w:t>
      </w:r>
      <w:r w:rsidR="005D30A2">
        <w:rPr>
          <w:rFonts w:ascii="Sylfaen" w:hAnsi="Sylfaen" w:cs="Sylfaen"/>
          <w:lang w:val="ka-GE"/>
        </w:rPr>
        <w:t xml:space="preserve">ბისათვის საჭირო ვადის მითითება. ერთჯერადი მოწოდების შემთხვევაში - მოწოდების ვადა სრულად. </w:t>
      </w:r>
    </w:p>
    <w:p w14:paraId="1CA80C77" w14:textId="076206E0"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მწარმოებლის მიერ გაცემული ხარისხის დამ</w:t>
      </w:r>
      <w:r w:rsidR="00A82C8B">
        <w:rPr>
          <w:rFonts w:ascii="Sylfaen" w:hAnsi="Sylfaen" w:cs="Sylfaen"/>
          <w:lang w:val="ka-GE"/>
        </w:rPr>
        <w:t>ა</w:t>
      </w:r>
      <w:r w:rsidRPr="00F64D93">
        <w:rPr>
          <w:rFonts w:ascii="Sylfaen" w:hAnsi="Sylfaen" w:cs="Sylfaen"/>
          <w:lang w:val="ka-GE"/>
        </w:rPr>
        <w:t>დასტუ</w:t>
      </w:r>
      <w:r w:rsidR="00E65363">
        <w:rPr>
          <w:rFonts w:ascii="Sylfaen" w:hAnsi="Sylfaen" w:cs="Sylfaen"/>
          <w:lang w:val="ka-GE"/>
        </w:rPr>
        <w:t>რებელი დოკუმენტი - სერტიფიკატი, პოზიციის შესაბამისი ტექნიკური მახასიათებლები</w:t>
      </w:r>
      <w:r w:rsidR="00040F48">
        <w:rPr>
          <w:rFonts w:ascii="Sylfaen" w:hAnsi="Sylfaen" w:cs="Sylfaen"/>
          <w:lang w:val="ka-GE"/>
        </w:rPr>
        <w:t xml:space="preserve"> (</w:t>
      </w:r>
      <w:r w:rsidR="00040F48">
        <w:rPr>
          <w:rFonts w:ascii="Sylfaen" w:hAnsi="Sylfaen" w:cs="Sylfaen"/>
        </w:rPr>
        <w:t>Technical sheet)</w:t>
      </w:r>
      <w:r w:rsidR="00E65363">
        <w:rPr>
          <w:rFonts w:ascii="Sylfaen" w:hAnsi="Sylfaen" w:cs="Sylfaen"/>
          <w:lang w:val="ka-GE"/>
        </w:rPr>
        <w:t xml:space="preserve"> შემოთავაზებული პოზიციის  ფოტომასალით.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25CC6304"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ამონაწერი სამეწარმე</w:t>
      </w:r>
      <w:r w:rsidR="00040F48">
        <w:rPr>
          <w:rFonts w:ascii="Sylfaen" w:hAnsi="Sylfaen" w:cs="Sylfaen"/>
          <w:lang w:val="ka-GE"/>
        </w:rPr>
        <w:t>ო რეესტრიდან, განახლებული ბოლო 3</w:t>
      </w:r>
      <w:r w:rsidRPr="00F64D93">
        <w:rPr>
          <w:rFonts w:ascii="Sylfaen" w:hAnsi="Sylfaen" w:cs="Sylfaen"/>
          <w:lang w:val="ka-GE"/>
        </w:rPr>
        <w:t xml:space="preserve"> თვის განმავლობაში. </w:t>
      </w:r>
    </w:p>
    <w:p w14:paraId="5029CA51" w14:textId="24435893" w:rsidR="00F64D93" w:rsidRPr="005D30A2" w:rsidRDefault="00F64D93" w:rsidP="00C542BA">
      <w:pPr>
        <w:pStyle w:val="ListParagraph"/>
        <w:numPr>
          <w:ilvl w:val="0"/>
          <w:numId w:val="40"/>
        </w:numPr>
        <w:spacing w:before="240" w:after="160" w:line="360" w:lineRule="auto"/>
        <w:jc w:val="both"/>
        <w:rPr>
          <w:rFonts w:ascii="Sylfaen" w:hAnsi="Sylfaen"/>
          <w:b/>
          <w:lang w:val="ka-GE"/>
        </w:rPr>
      </w:pPr>
      <w:bookmarkStart w:id="0" w:name="_GoBack"/>
      <w:r w:rsidRPr="005D30A2">
        <w:rPr>
          <w:rFonts w:ascii="Sylfaen" w:hAnsi="Sylfaen" w:cs="Sylfaen"/>
          <w:lang w:val="ka-GE"/>
        </w:rPr>
        <w:t xml:space="preserve">ტენდერის დასრულების შემდეგ, ტექნიკური </w:t>
      </w:r>
      <w:bookmarkEnd w:id="0"/>
      <w:r w:rsidRPr="005D30A2">
        <w:rPr>
          <w:rFonts w:ascii="Sylfaen" w:hAnsi="Sylfaen" w:cs="Sylfaen"/>
          <w:lang w:val="ka-GE"/>
        </w:rPr>
        <w:t xml:space="preserve">დოკუმენტაციის შესწავლის საფუძველზე, წერილობით მოწოდებული დადებითად შეფასებული შერჩეული პოზიციების სანიმუშოდ (უსასყიდლოდ) მოწოდება არაუგვიანეს წერილობითი შეტყობინებიდან 5 (ხუთი) </w:t>
      </w:r>
      <w:r w:rsidRPr="005D30A2">
        <w:rPr>
          <w:rFonts w:ascii="Sylfaen" w:hAnsi="Sylfaen" w:cs="Sylfaen"/>
          <w:lang w:val="ka-GE"/>
        </w:rPr>
        <w:lastRenderedPageBreak/>
        <w:t xml:space="preserve">კალენდარული დღის განმავლობაში. შერჩევის ეტაპის დასრულების შემდეგ </w:t>
      </w:r>
      <w:r w:rsidR="005D30A2" w:rsidRPr="005D30A2">
        <w:rPr>
          <w:rFonts w:ascii="Sylfaen" w:hAnsi="Sylfaen" w:cs="Sylfaen"/>
          <w:lang w:val="ka-GE"/>
        </w:rPr>
        <w:t xml:space="preserve">მოთხოვნისამებს ნიმუშების უკან დაბრუნება შესაძლებელია, ტენდერის დასტურებიდან ერთი თვის ვადაში.  </w:t>
      </w: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5F18F5DD" w:rsidR="00E45EB8"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040F48">
        <w:rPr>
          <w:rFonts w:ascii="Sylfaen" w:hAnsi="Sylfaen"/>
          <w:lang w:val="ka-GE"/>
        </w:rPr>
        <w:t xml:space="preserve">ჩარჩო </w:t>
      </w:r>
      <w:r w:rsidRPr="00E37C5C">
        <w:rPr>
          <w:rFonts w:ascii="Sylfaen" w:hAnsi="Sylfaen" w:cs="Sylfaen"/>
          <w:lang w:val="ka-GE"/>
        </w:rPr>
        <w:t>ხელშეკრულებ</w:t>
      </w:r>
      <w:r w:rsidR="00040F48">
        <w:rPr>
          <w:rFonts w:ascii="Sylfaen" w:hAnsi="Sylfaen" w:cs="Sylfaen"/>
          <w:lang w:val="ka-GE"/>
        </w:rPr>
        <w:t>(ებ)</w:t>
      </w:r>
      <w:r w:rsidRPr="00E37C5C">
        <w:rPr>
          <w:rFonts w:ascii="Sylfaen" w:hAnsi="Sylfaen" w:cs="Sylfaen"/>
          <w:lang w:val="ka-GE"/>
        </w:rPr>
        <w:t>ა</w:t>
      </w:r>
      <w:r w:rsidR="00AB6F7C">
        <w:rPr>
          <w:rFonts w:ascii="Sylfaen" w:hAnsi="Sylfaen"/>
          <w:lang w:val="ka-GE"/>
        </w:rPr>
        <w:t xml:space="preserve"> სატენდერო პირობების გათვალისწინებით</w:t>
      </w:r>
      <w:r w:rsidR="00040F48">
        <w:rPr>
          <w:rFonts w:ascii="Sylfaen" w:hAnsi="Sylfaen"/>
          <w:lang w:val="ka-GE"/>
        </w:rPr>
        <w:t xml:space="preserve"> ფასის ფიქსაციით. </w:t>
      </w:r>
    </w:p>
    <w:p w14:paraId="5B9CF633" w14:textId="1279746D" w:rsidR="008153B6" w:rsidRDefault="008153B6" w:rsidP="00E45EB8">
      <w:pPr>
        <w:spacing w:after="0" w:line="360" w:lineRule="auto"/>
        <w:jc w:val="both"/>
        <w:rPr>
          <w:rFonts w:ascii="Sylfaen" w:hAnsi="Sylfaen"/>
          <w:lang w:val="ka-GE"/>
        </w:rPr>
      </w:pPr>
      <w:r>
        <w:rPr>
          <w:rFonts w:ascii="Sylfaen" w:hAnsi="Sylfaen"/>
          <w:lang w:val="ka-GE"/>
        </w:rPr>
        <w:t xml:space="preserve">სატენდერო დოკუმენტაციას თან ერთვის ხელშეკრულების დანართი N1 და დანართი N2. </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lastRenderedPageBreak/>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EE38DE1" w14:textId="45588D25"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712B95D0" w14:textId="698BF3BA" w:rsidR="00040F48" w:rsidRPr="00CA2F3B" w:rsidRDefault="00040F48" w:rsidP="00BD74F8">
      <w:pPr>
        <w:spacing w:after="0" w:line="360" w:lineRule="auto"/>
        <w:ind w:left="360"/>
        <w:rPr>
          <w:rFonts w:ascii="Sylfaen" w:hAnsi="Sylfaen"/>
          <w:color w:val="FF0000"/>
          <w:lang w:val="ka-GE"/>
        </w:rPr>
      </w:pPr>
      <w:r>
        <w:rPr>
          <w:rFonts w:ascii="Sylfaen" w:hAnsi="Sylfaen"/>
          <w:lang w:val="ka-GE"/>
        </w:rPr>
        <w:t xml:space="preserve">1.12.4 </w:t>
      </w:r>
      <w:r w:rsidRPr="00CA2F3B">
        <w:rPr>
          <w:rFonts w:ascii="Sylfaen" w:hAnsi="Sylfaen"/>
          <w:color w:val="FF0000"/>
          <w:lang w:val="ka-GE"/>
        </w:rPr>
        <w:t xml:space="preserve">ტენდერში მონაწილეობა უფასოა. </w:t>
      </w:r>
    </w:p>
    <w:p w14:paraId="0D36F30C"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DF4E81">
      <w:headerReference w:type="default" r:id="rId12"/>
      <w:footerReference w:type="default" r:id="rId13"/>
      <w:pgSz w:w="12240" w:h="15840"/>
      <w:pgMar w:top="1134" w:right="810" w:bottom="135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C5EC5" w14:textId="77777777" w:rsidR="0003215E" w:rsidRDefault="0003215E" w:rsidP="007902EA">
      <w:pPr>
        <w:spacing w:after="0" w:line="240" w:lineRule="auto"/>
      </w:pPr>
      <w:r>
        <w:separator/>
      </w:r>
    </w:p>
  </w:endnote>
  <w:endnote w:type="continuationSeparator" w:id="0">
    <w:p w14:paraId="0EC62B86" w14:textId="77777777" w:rsidR="0003215E" w:rsidRDefault="0003215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A3D9D16" w:rsidR="004A3BD8" w:rsidRDefault="004A3BD8">
        <w:pPr>
          <w:pStyle w:val="Footer"/>
          <w:jc w:val="right"/>
        </w:pPr>
        <w:r>
          <w:fldChar w:fldCharType="begin"/>
        </w:r>
        <w:r>
          <w:instrText xml:space="preserve"> PAGE   \* MERGEFORMAT </w:instrText>
        </w:r>
        <w:r>
          <w:fldChar w:fldCharType="separate"/>
        </w:r>
        <w:r w:rsidR="003664A8">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EFFE6" w14:textId="77777777" w:rsidR="0003215E" w:rsidRDefault="0003215E" w:rsidP="007902EA">
      <w:pPr>
        <w:spacing w:after="0" w:line="240" w:lineRule="auto"/>
      </w:pPr>
      <w:r>
        <w:separator/>
      </w:r>
    </w:p>
  </w:footnote>
  <w:footnote w:type="continuationSeparator" w:id="0">
    <w:p w14:paraId="32761F17" w14:textId="77777777" w:rsidR="0003215E" w:rsidRDefault="0003215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215E"/>
    <w:rsid w:val="000353F8"/>
    <w:rsid w:val="00040F48"/>
    <w:rsid w:val="00046082"/>
    <w:rsid w:val="0004786C"/>
    <w:rsid w:val="00051E54"/>
    <w:rsid w:val="00053EAB"/>
    <w:rsid w:val="0005435C"/>
    <w:rsid w:val="00055E1E"/>
    <w:rsid w:val="00056A31"/>
    <w:rsid w:val="00064AB9"/>
    <w:rsid w:val="0006542B"/>
    <w:rsid w:val="0008159C"/>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5A6E"/>
    <w:rsid w:val="0031653E"/>
    <w:rsid w:val="00316C88"/>
    <w:rsid w:val="00320435"/>
    <w:rsid w:val="00320878"/>
    <w:rsid w:val="0033101C"/>
    <w:rsid w:val="00333692"/>
    <w:rsid w:val="0033397E"/>
    <w:rsid w:val="00340CC3"/>
    <w:rsid w:val="00356613"/>
    <w:rsid w:val="00357317"/>
    <w:rsid w:val="003573F4"/>
    <w:rsid w:val="003657A5"/>
    <w:rsid w:val="003664A8"/>
    <w:rsid w:val="00377D43"/>
    <w:rsid w:val="00385373"/>
    <w:rsid w:val="003859BA"/>
    <w:rsid w:val="00387591"/>
    <w:rsid w:val="00387AB5"/>
    <w:rsid w:val="00391AB5"/>
    <w:rsid w:val="00391B0E"/>
    <w:rsid w:val="003A029B"/>
    <w:rsid w:val="003A4DAA"/>
    <w:rsid w:val="003A5D91"/>
    <w:rsid w:val="003B460D"/>
    <w:rsid w:val="003B54B0"/>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0A2"/>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53B6"/>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35AC"/>
    <w:rsid w:val="00A96330"/>
    <w:rsid w:val="00AA19E9"/>
    <w:rsid w:val="00AA2ABB"/>
    <w:rsid w:val="00AA511B"/>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2F3B"/>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4E81"/>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D5081"/>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5F95"/>
    <w:rsid w:val="00FE6CD8"/>
    <w:rsid w:val="00FE783B"/>
    <w:rsid w:val="00FF27F0"/>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443F-744B-4BFA-B9A6-B8D3AEED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9</cp:revision>
  <cp:lastPrinted>2015-07-27T06:36:00Z</cp:lastPrinted>
  <dcterms:created xsi:type="dcterms:W3CDTF">2022-01-26T14:28:00Z</dcterms:created>
  <dcterms:modified xsi:type="dcterms:W3CDTF">2024-02-22T06:40:00Z</dcterms:modified>
</cp:coreProperties>
</file>