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4D9B42"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w:t>
      </w:r>
      <w:proofErr w:type="spellStart"/>
      <w:r>
        <w:rPr>
          <w:rFonts w:ascii="Calibri" w:hAnsi="Calibri" w:cs="Arial"/>
          <w:color w:val="222222"/>
          <w:szCs w:val="22"/>
          <w:lang w:val="en-GB"/>
        </w:rPr>
        <w:t>Shoshitaishvili</w:t>
      </w:r>
      <w:proofErr w:type="spellEnd"/>
      <w:r>
        <w:rPr>
          <w:rFonts w:ascii="Calibri" w:hAnsi="Calibri" w:cs="Arial"/>
          <w:color w:val="222222"/>
          <w:szCs w:val="22"/>
          <w:lang w:val="en-GB"/>
        </w:rPr>
        <w:t xml:space="preserve">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7228FAD5"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1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50907ADF"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5E5B84">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5110A01F"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r w:rsidR="002942EC" w:rsidRPr="002942EC">
        <w:rPr>
          <w:b/>
          <w:bCs/>
        </w:rPr>
        <w:t>RFP No. PR_00282615</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7D372526" w14:textId="4CDEC3FF" w:rsidR="00446A01" w:rsidRPr="00E91600" w:rsidRDefault="00034832" w:rsidP="00446A01">
      <w:pPr>
        <w:rPr>
          <w:rFonts w:ascii="Calibri" w:hAnsi="Calibri" w:cs="Arial"/>
          <w:b/>
          <w:bCs/>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002072A1">
        <w:rPr>
          <w:rFonts w:ascii="Calibri" w:hAnsi="Calibri" w:cs="Arial"/>
          <w:szCs w:val="22"/>
          <w:lang w:val="en-GB"/>
        </w:rPr>
        <w:t xml:space="preserve">the </w:t>
      </w:r>
      <w:r w:rsidR="001B71AE" w:rsidRPr="00E91600">
        <w:rPr>
          <w:rFonts w:ascii="Calibri" w:hAnsi="Calibri" w:cs="Arial"/>
          <w:b/>
          <w:bCs/>
          <w:i/>
          <w:szCs w:val="22"/>
          <w:lang w:val="en-GB"/>
        </w:rPr>
        <w:t>European Union</w:t>
      </w:r>
      <w:r w:rsidRPr="00E91600">
        <w:rPr>
          <w:rFonts w:ascii="Calibri" w:hAnsi="Calibri" w:cs="Arial"/>
          <w:szCs w:val="22"/>
          <w:lang w:val="en-GB"/>
        </w:rPr>
        <w:t xml:space="preserve"> </w:t>
      </w:r>
      <w:r w:rsidRPr="00E91600">
        <w:rPr>
          <w:rFonts w:ascii="Calibri" w:hAnsi="Calibri" w:cs="Arial"/>
          <w:b/>
          <w:bCs/>
          <w:szCs w:val="22"/>
          <w:lang w:val="en-GB"/>
        </w:rPr>
        <w:t xml:space="preserve">for the implementation of the humanitarian aid operation entitled </w:t>
      </w:r>
      <w:r w:rsidR="00042351" w:rsidRPr="00E91600">
        <w:rPr>
          <w:rFonts w:ascii="Calibri" w:hAnsi="Calibri" w:cs="Arial"/>
          <w:b/>
          <w:bCs/>
          <w:szCs w:val="22"/>
          <w:lang w:val="en-GB"/>
        </w:rPr>
        <w:t xml:space="preserve">“Social Entrepreneurship and Enhanced Development-Based Skills-SEEDS- in Georgia and </w:t>
      </w:r>
      <w:r w:rsidR="00446A01" w:rsidRPr="00E91600">
        <w:rPr>
          <w:rFonts w:ascii="Calibri" w:hAnsi="Calibri" w:cs="Arial"/>
          <w:b/>
          <w:bCs/>
          <w:szCs w:val="22"/>
          <w:lang w:val="en-GB"/>
        </w:rPr>
        <w:t>Ukraine”</w:t>
      </w:r>
      <w:r w:rsidR="00446A01" w:rsidRPr="00446A01">
        <w:rPr>
          <w:rFonts w:ascii="Calibri" w:hAnsi="Calibri" w:cs="Arial"/>
          <w:b/>
          <w:bCs/>
          <w:i/>
          <w:szCs w:val="22"/>
          <w:lang w:val="en-GB"/>
        </w:rPr>
        <w:t xml:space="preserve"> </w:t>
      </w:r>
      <w:r w:rsidR="00446A01" w:rsidRPr="00446A01">
        <w:rPr>
          <w:rFonts w:ascii="Calibri" w:hAnsi="Calibri" w:cs="Arial"/>
          <w:i/>
          <w:szCs w:val="22"/>
          <w:lang w:val="en-GB"/>
        </w:rPr>
        <w:t>Part</w:t>
      </w:r>
      <w:r w:rsidRPr="00446A01">
        <w:rPr>
          <w:rFonts w:ascii="Calibri" w:hAnsi="Calibri" w:cs="Arial"/>
          <w:szCs w:val="22"/>
          <w:lang w:val="en-GB"/>
        </w:rPr>
        <w:t xml:space="preserve"> of </w:t>
      </w:r>
      <w:r w:rsidRPr="00EE1B34">
        <w:rPr>
          <w:rFonts w:ascii="Calibri" w:hAnsi="Calibri" w:cs="Arial"/>
          <w:szCs w:val="22"/>
          <w:lang w:val="en-GB"/>
        </w:rPr>
        <w:t xml:space="preserve">this operation is the </w:t>
      </w:r>
      <w:r w:rsidR="004507AB">
        <w:rPr>
          <w:rFonts w:ascii="Calibri" w:hAnsi="Calibri" w:cs="Arial"/>
          <w:szCs w:val="22"/>
          <w:lang w:val="en-GB"/>
        </w:rPr>
        <w:t xml:space="preserve">consultancy services for </w:t>
      </w:r>
      <w:r w:rsidR="00446A01" w:rsidRPr="00446A01">
        <w:rPr>
          <w:rFonts w:ascii="Calibri" w:hAnsi="Calibri" w:cs="Arial"/>
          <w:b/>
          <w:bCs/>
          <w:szCs w:val="22"/>
          <w:lang w:val="en-GB"/>
        </w:rPr>
        <w:t xml:space="preserve">“Analysis of Career Guidance and Management system in Georgia, identifying needs and opportunities to develop respective tools for adaptation of Estonian expertise and </w:t>
      </w:r>
      <w:proofErr w:type="gramStart"/>
      <w:r w:rsidR="00C45CAB" w:rsidRPr="00446A01">
        <w:rPr>
          <w:rFonts w:ascii="Calibri" w:hAnsi="Calibri" w:cs="Arial"/>
          <w:b/>
          <w:bCs/>
          <w:szCs w:val="22"/>
          <w:lang w:val="en-GB"/>
        </w:rPr>
        <w:t>best</w:t>
      </w:r>
      <w:proofErr w:type="gramEnd"/>
    </w:p>
    <w:p w14:paraId="175B2CB4" w14:textId="32C612B1" w:rsidR="00446A01" w:rsidRDefault="00446A01" w:rsidP="00446A01">
      <w:pPr>
        <w:rPr>
          <w:rFonts w:ascii="Calibri" w:hAnsi="Calibri" w:cs="Arial"/>
          <w:b/>
          <w:bCs/>
          <w:szCs w:val="22"/>
          <w:lang w:val="en-GB"/>
        </w:rPr>
      </w:pPr>
      <w:r w:rsidRPr="00446A01">
        <w:rPr>
          <w:rFonts w:ascii="Calibri" w:hAnsi="Calibri" w:cs="Arial"/>
          <w:b/>
          <w:bCs/>
          <w:szCs w:val="22"/>
          <w:lang w:val="en-GB"/>
        </w:rPr>
        <w:t xml:space="preserve">practices, with the aim to support the </w:t>
      </w:r>
      <w:proofErr w:type="spellStart"/>
      <w:r w:rsidRPr="00446A01">
        <w:rPr>
          <w:rFonts w:ascii="Calibri" w:hAnsi="Calibri" w:cs="Arial"/>
          <w:b/>
          <w:bCs/>
          <w:szCs w:val="22"/>
          <w:lang w:val="en-GB"/>
        </w:rPr>
        <w:t>enrollment</w:t>
      </w:r>
      <w:proofErr w:type="spellEnd"/>
      <w:r w:rsidRPr="00446A01">
        <w:rPr>
          <w:rFonts w:ascii="Calibri" w:hAnsi="Calibri" w:cs="Arial"/>
          <w:b/>
          <w:bCs/>
          <w:szCs w:val="22"/>
          <w:lang w:val="en-GB"/>
        </w:rPr>
        <w:t xml:space="preserve"> of potential talents in </w:t>
      </w:r>
      <w:r w:rsidR="00E91600">
        <w:rPr>
          <w:rFonts w:ascii="Calibri" w:hAnsi="Calibri" w:cs="Arial"/>
          <w:b/>
          <w:bCs/>
          <w:szCs w:val="22"/>
          <w:lang w:val="en-GB"/>
        </w:rPr>
        <w:t xml:space="preserve">the </w:t>
      </w:r>
      <w:r w:rsidRPr="00446A01">
        <w:rPr>
          <w:rFonts w:ascii="Calibri" w:hAnsi="Calibri" w:cs="Arial"/>
          <w:b/>
          <w:bCs/>
          <w:szCs w:val="22"/>
          <w:lang w:val="en-GB"/>
        </w:rPr>
        <w:t>Social Enterprise ecosystem.”</w:t>
      </w:r>
      <w:r w:rsidRPr="00446A01">
        <w:rPr>
          <w:rFonts w:ascii="Calibri" w:hAnsi="Calibri" w:cs="Arial"/>
          <w:b/>
          <w:bCs/>
          <w:szCs w:val="22"/>
          <w:lang w:val="en-GB"/>
        </w:rPr>
        <w:cr/>
      </w:r>
    </w:p>
    <w:p w14:paraId="12D6AF5C" w14:textId="14296D52"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4C27728F" w14:textId="709685DE"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15 days </w:t>
      </w:r>
      <w:r w:rsidR="009E7224">
        <w:rPr>
          <w:rFonts w:ascii="Calibri" w:hAnsi="Calibri" w:cs="Arial"/>
          <w:color w:val="222222"/>
          <w:szCs w:val="22"/>
          <w:lang w:val="en-GB"/>
        </w:rPr>
        <w:t>after RFP</w:t>
      </w:r>
      <w:r w:rsidR="007A5441">
        <w:rPr>
          <w:rFonts w:ascii="Calibri" w:hAnsi="Calibri" w:cs="Arial"/>
          <w:color w:val="222222"/>
          <w:szCs w:val="22"/>
          <w:lang w:val="en-GB"/>
        </w:rPr>
        <w:t>#</w:t>
      </w:r>
      <w:r w:rsidR="007A5441" w:rsidRPr="007A5441">
        <w:t xml:space="preserve"> </w:t>
      </w:r>
      <w:r w:rsidR="007A5441" w:rsidRPr="007A5441">
        <w:rPr>
          <w:rFonts w:ascii="Calibri" w:hAnsi="Calibri" w:cs="Arial"/>
          <w:color w:val="222222"/>
          <w:szCs w:val="22"/>
          <w:lang w:val="en-GB"/>
        </w:rPr>
        <w:t>PR_00282615</w:t>
      </w:r>
      <w:r w:rsidR="000E59D6">
        <w:rPr>
          <w:rFonts w:ascii="Calibri" w:hAnsi="Calibri" w:cs="Arial"/>
          <w:color w:val="222222"/>
          <w:szCs w:val="22"/>
          <w:lang w:val="en-GB"/>
        </w:rPr>
        <w:t xml:space="preserve"> Closure.</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07EAD93"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March 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5687EA72" w:rsidR="00141F35" w:rsidRPr="00C95007" w:rsidRDefault="00DD6A6C" w:rsidP="008B6504">
            <w:pPr>
              <w:pStyle w:val="ACBody2"/>
              <w:tabs>
                <w:tab w:val="left" w:pos="7722"/>
              </w:tabs>
              <w:spacing w:after="0"/>
              <w:ind w:left="0"/>
              <w:jc w:val="left"/>
              <w:rPr>
                <w:rFonts w:ascii="Calibri" w:eastAsia="Calibri" w:hAnsi="Calibri" w:cs="Calibri"/>
                <w:sz w:val="20"/>
                <w:highlight w:val="yellow"/>
                <w:lang w:val="en-GB" w:eastAsia="en-GB"/>
              </w:rPr>
            </w:pPr>
            <w:r w:rsidRPr="00DD6A6C">
              <w:rPr>
                <w:rFonts w:ascii="Calibri" w:eastAsia="Calibri" w:hAnsi="Calibri" w:cs="Calibri"/>
                <w:sz w:val="20"/>
                <w:lang w:val="en-GB" w:eastAsia="en-GB"/>
              </w:rPr>
              <w:t>March 7</w:t>
            </w:r>
            <w:r w:rsidRPr="00DD6A6C">
              <w:rPr>
                <w:rFonts w:ascii="Calibri" w:eastAsia="Calibri" w:hAnsi="Calibri" w:cs="Calibri"/>
                <w:sz w:val="20"/>
                <w:vertAlign w:val="superscript"/>
                <w:lang w:val="en-GB" w:eastAsia="en-GB"/>
              </w:rPr>
              <w:t>th</w:t>
            </w:r>
            <w:r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6C574CD4"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4C50A5">
              <w:rPr>
                <w:rFonts w:ascii="Calibri" w:eastAsia="Calibri" w:hAnsi="Calibri" w:cs="Calibri"/>
                <w:sz w:val="20"/>
                <w:lang w:val="en-GB" w:eastAsia="en-GB"/>
              </w:rPr>
              <w:t>18</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D62E2" w:rsidRPr="00D95D60">
              <w:rPr>
                <w:rFonts w:ascii="Calibri" w:eastAsia="Calibri" w:hAnsi="Calibri" w:cs="Calibri"/>
                <w:sz w:val="20"/>
                <w:lang w:val="en-GB" w:eastAsia="en-GB"/>
              </w:rPr>
              <w:t>2024,</w:t>
            </w:r>
            <w:r w:rsidR="000F70EA" w:rsidRPr="00D95D60">
              <w:rPr>
                <w:rFonts w:ascii="Calibri" w:eastAsia="Calibri" w:hAnsi="Calibri" w:cs="Calibri"/>
                <w:sz w:val="20"/>
                <w:lang w:val="en-GB" w:eastAsia="en-GB"/>
              </w:rPr>
              <w:t xml:space="preserve"> </w:t>
            </w:r>
            <w:r w:rsidR="00270C48">
              <w:rPr>
                <w:rFonts w:ascii="Calibri" w:eastAsia="Calibri" w:hAnsi="Calibri" w:cs="Calibri"/>
                <w:sz w:val="20"/>
                <w:lang w:val="en-GB" w:eastAsia="en-GB"/>
              </w:rPr>
              <w:t>17:00</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 xml:space="preserve">Tbilisi, Badri </w:t>
            </w:r>
            <w:proofErr w:type="spellStart"/>
            <w:r w:rsidRPr="00395AD5">
              <w:rPr>
                <w:rFonts w:ascii="Calibri" w:eastAsia="Calibri" w:hAnsi="Calibri" w:cs="Calibri"/>
                <w:sz w:val="20"/>
                <w:lang w:eastAsia="en-GB"/>
              </w:rPr>
              <w:t>Shoshitaishvili</w:t>
            </w:r>
            <w:proofErr w:type="spellEnd"/>
            <w:r w:rsidRPr="00395AD5">
              <w:rPr>
                <w:rFonts w:ascii="Calibri" w:eastAsia="Calibri" w:hAnsi="Calibri" w:cs="Calibri"/>
                <w:sz w:val="20"/>
                <w:lang w:eastAsia="en-GB"/>
              </w:rPr>
              <w:t xml:space="preserve">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01D9B38C"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DD62E2">
              <w:rPr>
                <w:rFonts w:ascii="Calibri" w:eastAsia="Calibri" w:hAnsi="Calibri" w:cs="Calibri"/>
                <w:sz w:val="20"/>
                <w:lang w:val="en-GB" w:eastAsia="en-GB"/>
              </w:rPr>
              <w:t>20</w:t>
            </w:r>
            <w:r w:rsidRPr="00B44792">
              <w:rPr>
                <w:rFonts w:ascii="Calibri" w:eastAsia="Calibri" w:hAnsi="Calibri" w:cs="Calibri"/>
                <w:sz w:val="20"/>
                <w:vertAlign w:val="superscript"/>
                <w:lang w:val="en-GB" w:eastAsia="en-GB"/>
              </w:rPr>
              <w:t>th</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270C48">
              <w:rPr>
                <w:rFonts w:ascii="Calibri" w:eastAsia="Calibri" w:hAnsi="Calibri" w:cs="Calibri"/>
                <w:sz w:val="20"/>
                <w:lang w:val="en-GB" w:eastAsia="en-GB"/>
              </w:rPr>
              <w:t>14:00</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5873C267" w:rsidR="00764110" w:rsidRPr="00B44792" w:rsidRDefault="00764110" w:rsidP="00C742C3">
      <w:pPr>
        <w:numPr>
          <w:ilvl w:val="0"/>
          <w:numId w:val="63"/>
        </w:numPr>
        <w:shd w:val="clear" w:color="auto" w:fill="FFFFFF"/>
        <w:contextualSpacing/>
        <w:rPr>
          <w:rFonts w:cs="Arial"/>
          <w:szCs w:val="22"/>
        </w:rPr>
      </w:pPr>
      <w:r w:rsidRPr="006C49BA">
        <w:rPr>
          <w:rFonts w:cs="Arial"/>
          <w:szCs w:val="22"/>
        </w:rPr>
        <w:t xml:space="preserve">This RFP is launched for the purpose of establishing a </w:t>
      </w:r>
      <w:r w:rsidR="004507AB" w:rsidRPr="006C49BA">
        <w:rPr>
          <w:rFonts w:cs="Arial"/>
          <w:szCs w:val="22"/>
        </w:rPr>
        <w:t>contract</w:t>
      </w:r>
      <w:r w:rsidRPr="006C49BA">
        <w:rPr>
          <w:rFonts w:cs="Arial"/>
          <w:szCs w:val="22"/>
        </w:rPr>
        <w:t xml:space="preserve"> with the </w:t>
      </w:r>
      <w:r w:rsidR="004E50BA" w:rsidRPr="006C49BA">
        <w:rPr>
          <w:rFonts w:cs="Arial"/>
          <w:szCs w:val="22"/>
        </w:rPr>
        <w:t xml:space="preserve">provider </w:t>
      </w:r>
      <w:r w:rsidRPr="006C49BA">
        <w:rPr>
          <w:rFonts w:cs="Arial"/>
          <w:szCs w:val="22"/>
        </w:rPr>
        <w:t xml:space="preserve">for </w:t>
      </w:r>
      <w:r w:rsidR="00B44792" w:rsidRPr="006C49BA">
        <w:rPr>
          <w:rFonts w:cs="Arial"/>
          <w:szCs w:val="22"/>
        </w:rPr>
        <w:t>the services</w:t>
      </w:r>
      <w:r w:rsidR="004E50BA" w:rsidRPr="006C49BA">
        <w:rPr>
          <w:rFonts w:cs="Arial"/>
          <w:szCs w:val="22"/>
        </w:rPr>
        <w:t xml:space="preserve"> for</w:t>
      </w:r>
      <w:r w:rsidRPr="006C49BA">
        <w:rPr>
          <w:rFonts w:cs="Arial"/>
          <w:szCs w:val="22"/>
        </w:rPr>
        <w:t xml:space="preserve"> </w:t>
      </w:r>
      <w:r w:rsidR="005B612D" w:rsidRPr="006C49BA">
        <w:rPr>
          <w:rFonts w:cs="Arial"/>
          <w:szCs w:val="22"/>
        </w:rPr>
        <w:t>“</w:t>
      </w:r>
      <w:r w:rsidR="00115503" w:rsidRPr="006C49BA">
        <w:rPr>
          <w:rFonts w:cs="Arial"/>
          <w:szCs w:val="22"/>
        </w:rPr>
        <w:t>Analysis of Career Guidance and Management system in Georgia, identifying needs and opportunities to develop respective tools for adaptation of Estonian expertise and</w:t>
      </w:r>
      <w:r w:rsidR="00C742C3" w:rsidRPr="00B44792">
        <w:rPr>
          <w:rFonts w:cs="Arial"/>
          <w:szCs w:val="22"/>
        </w:rPr>
        <w:t xml:space="preserve"> </w:t>
      </w:r>
      <w:r w:rsidR="00115503" w:rsidRPr="00B44792">
        <w:rPr>
          <w:rFonts w:cs="Arial"/>
          <w:szCs w:val="22"/>
        </w:rPr>
        <w:t xml:space="preserve">practices, with the aim to support the enrollment of potential talents in </w:t>
      </w:r>
      <w:r w:rsidR="006C49BA" w:rsidRPr="00B44792">
        <w:rPr>
          <w:rFonts w:cs="Arial"/>
          <w:szCs w:val="22"/>
        </w:rPr>
        <w:t xml:space="preserve">the </w:t>
      </w:r>
      <w:r w:rsidR="00115503" w:rsidRPr="00B44792">
        <w:rPr>
          <w:rFonts w:cs="Arial"/>
          <w:szCs w:val="22"/>
        </w:rPr>
        <w:t xml:space="preserve">Social Enterprise </w:t>
      </w:r>
      <w:r w:rsidR="00B95076" w:rsidRPr="00B44792">
        <w:rPr>
          <w:rFonts w:cs="Arial"/>
          <w:szCs w:val="22"/>
        </w:rPr>
        <w:t>Ecosystem.</w:t>
      </w:r>
    </w:p>
    <w:p w14:paraId="6E910159" w14:textId="5611CD50" w:rsidR="00764110" w:rsidRPr="00DD30E4" w:rsidRDefault="00764110" w:rsidP="00764110">
      <w:pPr>
        <w:numPr>
          <w:ilvl w:val="0"/>
          <w:numId w:val="63"/>
        </w:numPr>
        <w:shd w:val="clear" w:color="auto" w:fill="FFFFFF"/>
        <w:contextualSpacing/>
        <w:rPr>
          <w:rFonts w:cs="Arial"/>
          <w:szCs w:val="22"/>
        </w:rPr>
      </w:pPr>
      <w:r w:rsidRPr="00DD30E4">
        <w:rPr>
          <w:rFonts w:cs="Arial"/>
          <w:spacing w:val="-3"/>
          <w:szCs w:val="22"/>
        </w:rPr>
        <w:t xml:space="preserve">The </w:t>
      </w:r>
      <w:r w:rsidR="00307D06" w:rsidRPr="00DD30E4">
        <w:rPr>
          <w:rFonts w:cs="Arial"/>
          <w:spacing w:val="-3"/>
          <w:szCs w:val="22"/>
        </w:rPr>
        <w:t xml:space="preserve">expected duration of </w:t>
      </w:r>
      <w:r w:rsidR="00D22AC2" w:rsidRPr="00DD30E4">
        <w:rPr>
          <w:rFonts w:cs="Arial"/>
          <w:spacing w:val="-3"/>
          <w:szCs w:val="22"/>
        </w:rPr>
        <w:t xml:space="preserve">this service </w:t>
      </w:r>
      <w:r w:rsidR="00307D06" w:rsidRPr="00DD30E4">
        <w:rPr>
          <w:rFonts w:cs="Arial"/>
          <w:spacing w:val="-3"/>
          <w:szCs w:val="22"/>
        </w:rPr>
        <w:t xml:space="preserve">shall </w:t>
      </w:r>
      <w:r w:rsidR="00B44792" w:rsidRPr="00DD30E4">
        <w:rPr>
          <w:rFonts w:cs="Arial"/>
          <w:spacing w:val="-3"/>
          <w:szCs w:val="22"/>
        </w:rPr>
        <w:t xml:space="preserve">be </w:t>
      </w:r>
      <w:r w:rsidR="001968F9" w:rsidRPr="0071577B">
        <w:rPr>
          <w:rFonts w:ascii="Calibri" w:hAnsi="Calibri" w:cs="Arial"/>
          <w:b/>
          <w:bCs/>
          <w:i/>
          <w:szCs w:val="22"/>
        </w:rPr>
        <w:t>March 25, 2024 – May 10, 2024</w:t>
      </w:r>
      <w:r w:rsidR="001968F9">
        <w:rPr>
          <w:rFonts w:ascii="Calibri" w:hAnsi="Calibri" w:cs="Arial"/>
          <w:i/>
          <w:szCs w:val="22"/>
        </w:rPr>
        <w:t>,</w:t>
      </w:r>
      <w:r w:rsidR="00BE5956" w:rsidRPr="006C49BA">
        <w:rPr>
          <w:rFonts w:ascii="Calibri" w:hAnsi="Calibri" w:cs="Arial"/>
          <w:b/>
          <w:bCs/>
          <w:i/>
          <w:szCs w:val="22"/>
        </w:rPr>
        <w:t xml:space="preserve"> </w:t>
      </w:r>
      <w:r w:rsidR="00307D06" w:rsidRPr="00DD30E4">
        <w:rPr>
          <w:rFonts w:ascii="Calibri" w:hAnsi="Calibri" w:cs="Arial"/>
          <w:szCs w:val="22"/>
          <w:lang w:val="en-GB"/>
        </w:rPr>
        <w:t>and the final delivery</w:t>
      </w:r>
      <w:r w:rsidR="00307D06" w:rsidRPr="00DD30E4">
        <w:rPr>
          <w:rFonts w:cs="Arial"/>
          <w:spacing w:val="-3"/>
          <w:szCs w:val="22"/>
        </w:rPr>
        <w:t xml:space="preserve"> </w:t>
      </w:r>
      <w:r w:rsidRPr="00DD30E4">
        <w:rPr>
          <w:rFonts w:cs="Arial"/>
          <w:spacing w:val="-3"/>
          <w:szCs w:val="22"/>
        </w:rPr>
        <w:t xml:space="preserve">of the </w:t>
      </w:r>
      <w:r w:rsidR="00307D06" w:rsidRPr="00DD30E4">
        <w:rPr>
          <w:rFonts w:cs="Arial"/>
          <w:spacing w:val="-3"/>
          <w:szCs w:val="22"/>
        </w:rPr>
        <w:t xml:space="preserve">services </w:t>
      </w:r>
      <w:r w:rsidR="002808DB" w:rsidRPr="00DD30E4">
        <w:rPr>
          <w:rFonts w:cs="Arial"/>
          <w:spacing w:val="-3"/>
          <w:szCs w:val="22"/>
        </w:rPr>
        <w:t>shall</w:t>
      </w:r>
      <w:r w:rsidRPr="00DD30E4">
        <w:rPr>
          <w:rFonts w:cs="Arial"/>
          <w:spacing w:val="-3"/>
          <w:szCs w:val="22"/>
        </w:rPr>
        <w:t xml:space="preserve"> </w:t>
      </w:r>
      <w:r w:rsidR="00307D06" w:rsidRPr="00DD30E4">
        <w:rPr>
          <w:rFonts w:cs="Arial"/>
          <w:spacing w:val="-3"/>
          <w:szCs w:val="22"/>
        </w:rPr>
        <w:t xml:space="preserve">not </w:t>
      </w:r>
      <w:r w:rsidR="0071577B" w:rsidRPr="00DD30E4">
        <w:rPr>
          <w:rFonts w:cs="Arial"/>
          <w:spacing w:val="-3"/>
          <w:szCs w:val="22"/>
        </w:rPr>
        <w:t xml:space="preserve">exceed </w:t>
      </w:r>
      <w:r w:rsidR="0071577B">
        <w:rPr>
          <w:rFonts w:cs="Arial"/>
          <w:b/>
          <w:bCs/>
          <w:spacing w:val="-3"/>
          <w:szCs w:val="22"/>
        </w:rPr>
        <w:t xml:space="preserve">May 17, </w:t>
      </w:r>
      <w:r w:rsidR="00482413" w:rsidRPr="006C49BA">
        <w:rPr>
          <w:rFonts w:cs="Arial"/>
          <w:b/>
          <w:bCs/>
          <w:spacing w:val="-3"/>
          <w:szCs w:val="22"/>
        </w:rPr>
        <w:t>2024</w:t>
      </w:r>
      <w:r w:rsidR="006C49BA">
        <w:rPr>
          <w:rFonts w:cs="Arial"/>
          <w:i/>
          <w:iCs/>
          <w:spacing w:val="-3"/>
          <w:szCs w:val="22"/>
        </w:rPr>
        <w:t>.</w:t>
      </w:r>
      <w:r w:rsidRPr="00DD30E4">
        <w:rPr>
          <w:rFonts w:cs="Arial"/>
          <w:spacing w:val="-3"/>
          <w:szCs w:val="22"/>
        </w:rPr>
        <w:t xml:space="preserve"> DRC may terminate the contract if supplier fails to deliver </w:t>
      </w:r>
      <w:r w:rsidR="00307D06" w:rsidRPr="00DD30E4">
        <w:rPr>
          <w:rFonts w:cs="Arial"/>
          <w:spacing w:val="-3"/>
          <w:szCs w:val="22"/>
        </w:rPr>
        <w:t>services on time</w:t>
      </w:r>
      <w:r w:rsidRPr="00DD30E4">
        <w:rPr>
          <w:rFonts w:cs="Arial"/>
          <w:spacing w:val="-3"/>
          <w:szCs w:val="22"/>
        </w:rPr>
        <w:t>.</w:t>
      </w:r>
    </w:p>
    <w:p w14:paraId="74225928" w14:textId="461BA0B9"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own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lastRenderedPageBreak/>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2775F6C2"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#1</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t>1.1</w:t>
            </w:r>
          </w:p>
        </w:tc>
        <w:tc>
          <w:tcPr>
            <w:tcW w:w="4198" w:type="pct"/>
            <w:tcBorders>
              <w:top w:val="single" w:sz="4" w:space="0" w:color="auto"/>
              <w:left w:val="single" w:sz="4" w:space="0" w:color="auto"/>
              <w:bottom w:val="single" w:sz="4" w:space="0" w:color="auto"/>
              <w:right w:val="single" w:sz="4" w:space="0" w:color="auto"/>
            </w:tcBorders>
          </w:tcPr>
          <w:p w14:paraId="0337603D" w14:textId="66CEC5E2" w:rsidR="00BA0D07" w:rsidRPr="00BA0D07" w:rsidRDefault="000711CC" w:rsidP="00BA0D07">
            <w:pPr>
              <w:jc w:val="left"/>
            </w:pPr>
            <w:r w:rsidRPr="00BA0D07">
              <w:t>A minimum of 5 years of experience in conducting research or in toolkit development.</w:t>
            </w:r>
            <w:r w:rsidR="00BA0D07">
              <w:t xml:space="preserve"> </w:t>
            </w:r>
            <w:r w:rsidR="00BA0D07" w:rsidRPr="00BA0D07">
              <w:t xml:space="preserve">List of research/consultancy services conducted within the last 3 years with the mentioned. </w:t>
            </w:r>
          </w:p>
          <w:p w14:paraId="6808442D" w14:textId="658F94C7" w:rsidR="00BD07BA" w:rsidRDefault="00BA0D07" w:rsidP="00BA0D07">
            <w:pPr>
              <w:jc w:val="left"/>
            </w:pPr>
            <w:r w:rsidRPr="00BA0D07">
              <w:t>scope of the field stage</w:t>
            </w:r>
            <w:r>
              <w:t>.</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CAE0640" w:rsidR="00BD07BA" w:rsidRDefault="00A2693D" w:rsidP="009C16F0">
            <w:pPr>
              <w:jc w:val="left"/>
            </w:pPr>
            <w:r w:rsidRPr="00A2693D">
              <w:t>CV</w:t>
            </w:r>
            <w:r w:rsidR="00F047FE">
              <w:t xml:space="preserve"> and Recommendation letters </w:t>
            </w:r>
            <w:r w:rsidR="0057022A">
              <w:t>(at</w:t>
            </w:r>
            <w:r w:rsidR="00F047FE">
              <w:t xml:space="preserve"> last two)</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11E2A4B4" w:rsidR="00BD07BA" w:rsidRDefault="008118BD" w:rsidP="00DC2C6E">
            <w:pPr>
              <w:jc w:val="left"/>
            </w:pPr>
            <w:r w:rsidRPr="008118BD">
              <w:t>Full proficiency in English.</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D42A49B" w:rsidR="00BD07BA" w:rsidRPr="00A53CDD" w:rsidRDefault="00A53CDD" w:rsidP="00DC2C6E">
            <w:pPr>
              <w:jc w:val="left"/>
              <w:rPr>
                <w:bCs/>
              </w:rPr>
            </w:pPr>
            <w:r w:rsidRPr="00A53CDD">
              <w:rPr>
                <w:bCs/>
              </w:rPr>
              <w:t>Excellent communication, interview</w:t>
            </w:r>
            <w:r w:rsidR="00C26AC1">
              <w:rPr>
                <w:bCs/>
              </w:rPr>
              <w:t>,</w:t>
            </w:r>
            <w:r w:rsidRPr="00A53CDD">
              <w:rPr>
                <w:bCs/>
              </w:rPr>
              <w:t xml:space="preserve"> and </w:t>
            </w:r>
            <w:r>
              <w:rPr>
                <w:bCs/>
              </w:rPr>
              <w:t>report-writing</w:t>
            </w:r>
            <w:r w:rsidRPr="00A53CDD">
              <w:rPr>
                <w:bCs/>
              </w:rPr>
              <w:t xml:space="preserve"> skills</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lastRenderedPageBreak/>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56C09E7F" w:rsidR="00BD07BA" w:rsidRDefault="0054716B" w:rsidP="0054716B">
            <w:pPr>
              <w:jc w:val="left"/>
              <w:rPr>
                <w:szCs w:val="20"/>
              </w:rPr>
            </w:pPr>
            <w:r w:rsidRPr="0054716B">
              <w:t xml:space="preserve">Technical proposal with </w:t>
            </w:r>
            <w:r w:rsidR="00C56DD9">
              <w:t xml:space="preserve">a </w:t>
            </w:r>
            <w:r w:rsidRPr="0054716B">
              <w:t xml:space="preserve">detailed timeline involved human resources and </w:t>
            </w:r>
            <w:r w:rsidR="00C56DD9">
              <w:t xml:space="preserve">an </w:t>
            </w:r>
            <w:r w:rsidRPr="0054716B">
              <w:t xml:space="preserve">estimated </w:t>
            </w:r>
            <w:r w:rsidR="00C56DD9" w:rsidRPr="0054716B">
              <w:t>budget</w:t>
            </w:r>
            <w:r w:rsidR="008F3F61">
              <w:t xml:space="preserve"> </w:t>
            </w:r>
            <w:r w:rsidRPr="0054716B">
              <w:t>in EUR</w:t>
            </w:r>
          </w:p>
        </w:tc>
      </w:tr>
      <w:tr w:rsidR="00BD07BA" w14:paraId="4CEC96A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AE65938" w14:textId="7D85A725" w:rsidR="00BD07BA" w:rsidRDefault="0011299B" w:rsidP="00DC2C6E">
            <w:r>
              <w:t>1.6</w:t>
            </w:r>
          </w:p>
        </w:tc>
        <w:tc>
          <w:tcPr>
            <w:tcW w:w="4198" w:type="pct"/>
            <w:tcBorders>
              <w:top w:val="single" w:sz="4" w:space="0" w:color="auto"/>
              <w:left w:val="single" w:sz="4" w:space="0" w:color="auto"/>
              <w:bottom w:val="single" w:sz="4" w:space="0" w:color="auto"/>
              <w:right w:val="single" w:sz="4" w:space="0" w:color="auto"/>
            </w:tcBorders>
            <w:hideMark/>
          </w:tcPr>
          <w:p w14:paraId="31F9883F" w14:textId="7190B75B" w:rsidR="00BD07BA" w:rsidRDefault="004E1AD4" w:rsidP="00DC2C6E">
            <w:pPr>
              <w:jc w:val="left"/>
            </w:pPr>
            <w:r w:rsidRPr="004E1AD4">
              <w:t>Demonstrated ability to deliver quality results within strict deadlines.</w:t>
            </w:r>
          </w:p>
        </w:tc>
      </w:tr>
      <w:tr w:rsidR="00BD07BA" w14:paraId="74F28D3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B5B6BBE" w14:textId="32133836" w:rsidR="00BD07BA" w:rsidRPr="00127B81" w:rsidRDefault="004E1AD4" w:rsidP="00DC2C6E">
            <w:pPr>
              <w:rPr>
                <w:bCs/>
                <w:szCs w:val="20"/>
              </w:rPr>
            </w:pPr>
            <w:r w:rsidRPr="00127B81">
              <w:rPr>
                <w:bCs/>
                <w:szCs w:val="20"/>
              </w:rPr>
              <w:t>1.7</w:t>
            </w:r>
          </w:p>
        </w:tc>
        <w:tc>
          <w:tcPr>
            <w:tcW w:w="4198" w:type="pct"/>
            <w:tcBorders>
              <w:top w:val="single" w:sz="4" w:space="0" w:color="auto"/>
              <w:left w:val="single" w:sz="4" w:space="0" w:color="auto"/>
              <w:bottom w:val="single" w:sz="4" w:space="0" w:color="auto"/>
              <w:right w:val="single" w:sz="4" w:space="0" w:color="auto"/>
            </w:tcBorders>
            <w:hideMark/>
          </w:tcPr>
          <w:p w14:paraId="6D4115E9" w14:textId="22DB2A08" w:rsidR="00BD07BA" w:rsidRPr="00127B81" w:rsidRDefault="00127B81" w:rsidP="00DC2C6E">
            <w:pPr>
              <w:jc w:val="left"/>
              <w:rPr>
                <w:bCs/>
              </w:rPr>
            </w:pPr>
            <w:r w:rsidRPr="00127B81">
              <w:rPr>
                <w:bCs/>
              </w:rPr>
              <w:t xml:space="preserve">Knowledge of </w:t>
            </w:r>
            <w:r>
              <w:rPr>
                <w:bCs/>
              </w:rPr>
              <w:t xml:space="preserve">the </w:t>
            </w:r>
            <w:r w:rsidRPr="00127B81">
              <w:rPr>
                <w:bCs/>
              </w:rPr>
              <w:t xml:space="preserve">Educational system in Georgia /Estonia and </w:t>
            </w:r>
            <w:r>
              <w:rPr>
                <w:bCs/>
              </w:rPr>
              <w:t xml:space="preserve">the </w:t>
            </w:r>
            <w:r w:rsidRPr="00127B81">
              <w:rPr>
                <w:bCs/>
              </w:rPr>
              <w:t xml:space="preserve">SE landscape </w:t>
            </w:r>
          </w:p>
        </w:tc>
      </w:tr>
    </w:tbl>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3E1A4AB3" w:rsidR="00AA4634" w:rsidRPr="002D55AB" w:rsidRDefault="0027131C" w:rsidP="00AA4634">
      <w:pPr>
        <w:tabs>
          <w:tab w:val="left" w:pos="900"/>
        </w:tabs>
        <w:rPr>
          <w:rFonts w:ascii="Calibri" w:hAnsi="Calibri" w:cs="Arial"/>
          <w:szCs w:val="22"/>
          <w:lang w:val="en-GB"/>
        </w:rPr>
      </w:pPr>
      <w:proofErr w:type="gramStart"/>
      <w:r w:rsidRPr="008F3F61">
        <w:rPr>
          <w:rFonts w:ascii="Calibri" w:hAnsi="Calibri" w:cs="Arial"/>
          <w:b/>
          <w:szCs w:val="22"/>
          <w:lang w:val="en-GB"/>
        </w:rPr>
        <w:t xml:space="preserve">Annex </w:t>
      </w:r>
      <w:r w:rsidR="006F335A">
        <w:rPr>
          <w:rFonts w:ascii="Calibri" w:hAnsi="Calibri" w:cs="Arial"/>
          <w:b/>
          <w:szCs w:val="22"/>
          <w:lang w:val="en-GB"/>
        </w:rPr>
        <w:t xml:space="preserve"> A</w:t>
      </w:r>
      <w:proofErr w:type="gramEnd"/>
      <w:r w:rsidR="006F335A">
        <w:rPr>
          <w:rFonts w:ascii="Calibri" w:hAnsi="Calibri" w:cs="Arial"/>
          <w:b/>
          <w:szCs w:val="22"/>
          <w:lang w:val="en-GB"/>
        </w:rPr>
        <w:t xml:space="preserve">1 and </w:t>
      </w:r>
      <w:r w:rsidR="00AA48B5">
        <w:rPr>
          <w:rFonts w:ascii="Calibri" w:hAnsi="Calibri" w:cs="Arial"/>
          <w:b/>
          <w:szCs w:val="22"/>
          <w:lang w:val="ka-GE"/>
        </w:rPr>
        <w:t xml:space="preserve"> </w:t>
      </w:r>
      <w:r w:rsidRPr="008F3F61">
        <w:rPr>
          <w:rFonts w:ascii="Calibri" w:hAnsi="Calibri" w:cs="Arial"/>
          <w:b/>
          <w:szCs w:val="22"/>
          <w:lang w:val="en-GB"/>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Pr="008F3F61">
        <w:rPr>
          <w:rFonts w:ascii="Calibri" w:hAnsi="Calibri" w:cs="Arial"/>
          <w:b/>
          <w:szCs w:val="22"/>
          <w:lang w:val="en-GB"/>
        </w:rPr>
        <w:t xml:space="preserve"> </w:t>
      </w:r>
      <w:r w:rsidR="00411DB0">
        <w:rPr>
          <w:rFonts w:ascii="Calibri" w:hAnsi="Calibri" w:cs="Arial"/>
          <w:b/>
          <w:szCs w:val="22"/>
          <w:lang w:val="en-GB"/>
        </w:rPr>
        <w:t>are</w:t>
      </w:r>
      <w:r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4DEB1F84"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2A552E" w:rsidRPr="002A552E">
                              <w:rPr>
                                <w:rFonts w:ascii="Calibri" w:hAnsi="Calibri" w:cs="Arial"/>
                                <w:color w:val="222222"/>
                                <w:sz w:val="32"/>
                                <w:szCs w:val="22"/>
                                <w:lang w:val="en-GB"/>
                              </w:rPr>
                              <w:t>PR_00282615</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416ED828" w14:textId="4DEB1F84"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2A552E" w:rsidRPr="002A552E">
                        <w:rPr>
                          <w:rFonts w:ascii="Calibri" w:hAnsi="Calibri" w:cs="Arial"/>
                          <w:color w:val="222222"/>
                          <w:sz w:val="32"/>
                          <w:szCs w:val="22"/>
                          <w:lang w:val="en-GB"/>
                        </w:rPr>
                        <w:t>PR_00282615</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49B4E1FD"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2A552E" w:rsidRPr="002A552E">
                              <w:rPr>
                                <w:rFonts w:ascii="Calibri" w:hAnsi="Calibri" w:cs="Arial"/>
                                <w:color w:val="222222"/>
                                <w:sz w:val="32"/>
                                <w:szCs w:val="22"/>
                                <w:lang w:val="en-GB"/>
                              </w:rPr>
                              <w:t>PR_00282615</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49B4E1FD"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002A552E" w:rsidRPr="002A552E">
                        <w:t xml:space="preserve"> </w:t>
                      </w:r>
                      <w:r w:rsidR="002A552E" w:rsidRPr="002A552E">
                        <w:rPr>
                          <w:rFonts w:ascii="Calibri" w:hAnsi="Calibri" w:cs="Arial"/>
                          <w:color w:val="222222"/>
                          <w:sz w:val="32"/>
                          <w:szCs w:val="22"/>
                          <w:lang w:val="en-GB"/>
                        </w:rPr>
                        <w:t>PR_00282615</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 xml:space="preserve">Badri </w:t>
                      </w:r>
                      <w:proofErr w:type="spellStart"/>
                      <w:r w:rsidRPr="00082AC6">
                        <w:rPr>
                          <w:rFonts w:ascii="Calibri" w:hAnsi="Calibri" w:cs="Arial"/>
                          <w:sz w:val="32"/>
                          <w:szCs w:val="22"/>
                          <w:lang w:val="en-GB"/>
                        </w:rPr>
                        <w:t>Shoshitaishvili</w:t>
                      </w:r>
                      <w:proofErr w:type="spellEnd"/>
                      <w:r w:rsidRPr="00082AC6">
                        <w:rPr>
                          <w:rFonts w:ascii="Calibri" w:hAnsi="Calibri" w:cs="Arial"/>
                          <w:sz w:val="32"/>
                          <w:szCs w:val="22"/>
                          <w:lang w:val="en-GB"/>
                        </w:rPr>
                        <w:t xml:space="preserve">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2"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6D00EA7C"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15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xml:space="preserve">, Bidders will be bound by the contents of this paragraph </w:t>
      </w:r>
      <w:proofErr w:type="gramStart"/>
      <w:r w:rsidR="00ED4934" w:rsidRPr="00EE1B34">
        <w:rPr>
          <w:rFonts w:ascii="Calibri" w:hAnsi="Calibri" w:cs="Arial"/>
          <w:color w:val="222222"/>
          <w:szCs w:val="22"/>
          <w:lang w:val="en-GB"/>
        </w:rPr>
        <w:t>whether or not</w:t>
      </w:r>
      <w:proofErr w:type="gramEnd"/>
      <w:r w:rsidR="00ED4934" w:rsidRPr="00EE1B34">
        <w:rPr>
          <w:rFonts w:ascii="Calibri" w:hAnsi="Calibri" w:cs="Arial"/>
          <w:color w:val="222222"/>
          <w:szCs w:val="22"/>
          <w:lang w:val="en-GB"/>
        </w:rPr>
        <w:t xml:space="preserve">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3DAA11AE"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in relation to activities funded by DRC, including tendering, </w:t>
      </w:r>
      <w:proofErr w:type="gramStart"/>
      <w:r w:rsidRPr="00461C7E">
        <w:rPr>
          <w:rFonts w:ascii="Calibri" w:hAnsi="Calibri" w:cs="Arial"/>
          <w:color w:val="222222"/>
          <w:szCs w:val="22"/>
          <w:lang w:val="en-GB"/>
        </w:rPr>
        <w:t>award</w:t>
      </w:r>
      <w:proofErr w:type="gramEnd"/>
      <w:r w:rsidRPr="00461C7E">
        <w:rPr>
          <w:rFonts w:ascii="Calibri" w:hAnsi="Calibri" w:cs="Arial"/>
          <w:color w:val="222222"/>
          <w:szCs w:val="22"/>
          <w:lang w:val="en-GB"/>
        </w:rPr>
        <w:t xml:space="preserve">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t>
      </w:r>
      <w:proofErr w:type="gramStart"/>
      <w:r w:rsidRPr="3CA25B20">
        <w:rPr>
          <w:rFonts w:ascii="Calibri" w:hAnsi="Calibri" w:cs="Arial"/>
          <w:color w:val="222222"/>
          <w:lang w:val="en-GB"/>
        </w:rPr>
        <w:t xml:space="preserve">with </w:t>
      </w:r>
      <w:r w:rsidR="00D54251">
        <w:rPr>
          <w:rFonts w:ascii="Calibri" w:hAnsi="Calibri" w:cs="Arial"/>
          <w:color w:val="222222"/>
          <w:lang w:val="en-GB"/>
        </w:rPr>
        <w:t>regard</w:t>
      </w:r>
      <w:r w:rsidRPr="3CA25B20">
        <w:rPr>
          <w:rFonts w:ascii="Calibri" w:hAnsi="Calibri" w:cs="Arial"/>
          <w:color w:val="222222"/>
          <w:lang w:val="en-GB"/>
        </w:rPr>
        <w:t xml:space="preserve"> to</w:t>
      </w:r>
      <w:proofErr w:type="gramEnd"/>
      <w:r w:rsidRPr="3CA25B20">
        <w:rPr>
          <w:rFonts w:ascii="Calibri" w:hAnsi="Calibri" w:cs="Arial"/>
          <w:color w:val="222222"/>
          <w:lang w:val="en-GB"/>
        </w:rPr>
        <w:t xml:space="preserve">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where </w:t>
      </w:r>
      <w:proofErr w:type="gramStart"/>
      <w:r w:rsidRPr="00EE1B34">
        <w:rPr>
          <w:rFonts w:ascii="Calibri" w:hAnsi="Calibri" w:cs="Arial"/>
          <w:szCs w:val="22"/>
          <w:lang w:val="en-GB"/>
        </w:rPr>
        <w:t>no</w:t>
      </w:r>
      <w:proofErr w:type="gramEnd"/>
      <w:r w:rsidRPr="00EE1B34">
        <w:rPr>
          <w:rFonts w:ascii="Calibri" w:hAnsi="Calibri" w:cs="Arial"/>
          <w:szCs w:val="22"/>
          <w:lang w:val="en-GB"/>
        </w:rPr>
        <w:t xml:space="preserve">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6"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491CD8E3" w14:textId="6B3743B6" w:rsidR="008A4A0F" w:rsidRPr="00186E98"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186E98">
        <w:rPr>
          <w:rFonts w:ascii="Calibri" w:hAnsi="Calibri" w:cs="Arial"/>
          <w:lang w:val="en-GB"/>
        </w:rPr>
        <w:t xml:space="preserve">Annex </w:t>
      </w:r>
      <w:r w:rsidR="0054465E" w:rsidRPr="00186E98">
        <w:rPr>
          <w:rFonts w:ascii="Calibri" w:hAnsi="Calibri" w:cs="Arial"/>
          <w:lang w:val="en-GB"/>
        </w:rPr>
        <w:t>O</w:t>
      </w:r>
      <w:r w:rsidRPr="00186E98">
        <w:rPr>
          <w:rFonts w:ascii="Calibri" w:hAnsi="Calibri" w:cs="Arial"/>
          <w:lang w:val="en-GB"/>
        </w:rPr>
        <w:t>:</w:t>
      </w:r>
      <w:r w:rsidR="00AA56BA">
        <w:t xml:space="preserve">             </w:t>
      </w:r>
      <w:r w:rsidRPr="00186E98">
        <w:rPr>
          <w:rFonts w:ascii="Calibri" w:hAnsi="Calibri" w:cs="Arial"/>
          <w:lang w:val="en-GB"/>
        </w:rPr>
        <w:t>Consultan</w:t>
      </w:r>
      <w:r w:rsidR="00DC6C81" w:rsidRPr="00186E98">
        <w:rPr>
          <w:rFonts w:ascii="Calibri" w:hAnsi="Calibri" w:cs="Arial"/>
          <w:lang w:val="en-GB"/>
        </w:rPr>
        <w:t>t</w:t>
      </w:r>
      <w:r w:rsidRPr="00186E98">
        <w:rPr>
          <w:rFonts w:ascii="Calibri" w:hAnsi="Calibri" w:cs="Arial"/>
          <w:lang w:val="en-GB"/>
        </w:rPr>
        <w:t xml:space="preserve"> Declaration Form</w:t>
      </w:r>
      <w:r w:rsidR="008F3F61" w:rsidRPr="00186E98">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684B3252"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0F70EA"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A529A1">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5B7C3E66"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8C1046" w:rsidRPr="008C1046">
        <w:t xml:space="preserve"> </w:t>
      </w:r>
      <w:r w:rsidR="008C1046" w:rsidRPr="008C1046">
        <w:rPr>
          <w:rFonts w:ascii="Calibri" w:hAnsi="Calibri" w:cs="Arial"/>
          <w:b/>
          <w:bCs/>
          <w:lang w:val="en-GB"/>
        </w:rPr>
        <w:t>RFP No. PR_00282615</w:t>
      </w:r>
      <w:r w:rsidR="00C6161B" w:rsidRPr="008C1046">
        <w:rPr>
          <w:rFonts w:ascii="Calibri" w:hAnsi="Calibri" w:cs="Arial"/>
          <w:b/>
          <w:bCs/>
          <w:lang w:val="en-GB"/>
        </w:rPr>
        <w:t xml:space="preserve"> </w:t>
      </w:r>
      <w:r w:rsidRPr="008C1046">
        <w:rPr>
          <w:rFonts w:ascii="Calibri" w:hAnsi="Calibri" w:cs="Arial"/>
          <w:lang w:val="en-GB"/>
        </w:rPr>
        <w:t>del</w:t>
      </w:r>
      <w:r w:rsidRPr="00EE1B34">
        <w:rPr>
          <w:rFonts w:ascii="Calibri" w:hAnsi="Calibri" w:cs="Arial"/>
          <w:lang w:val="en-GB"/>
        </w:rPr>
        <w:t>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27D67471"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A529A1">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1778" w14:textId="77777777" w:rsidR="00A529A1" w:rsidRDefault="00A529A1">
      <w:r>
        <w:separator/>
      </w:r>
    </w:p>
  </w:endnote>
  <w:endnote w:type="continuationSeparator" w:id="0">
    <w:p w14:paraId="1FA80C76" w14:textId="77777777" w:rsidR="00A529A1" w:rsidRDefault="00A529A1">
      <w:r>
        <w:continuationSeparator/>
      </w:r>
    </w:p>
  </w:endnote>
  <w:endnote w:type="continuationNotice" w:id="1">
    <w:p w14:paraId="5A00EAAC" w14:textId="77777777" w:rsidR="00A529A1" w:rsidRDefault="00A52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49BA" w14:textId="77777777" w:rsidR="00A529A1" w:rsidRDefault="00A529A1">
      <w:r>
        <w:separator/>
      </w:r>
    </w:p>
  </w:footnote>
  <w:footnote w:type="continuationSeparator" w:id="0">
    <w:p w14:paraId="4D5615F1" w14:textId="77777777" w:rsidR="00A529A1" w:rsidRDefault="00A529A1">
      <w:r>
        <w:continuationSeparator/>
      </w:r>
    </w:p>
  </w:footnote>
  <w:footnote w:type="continuationNotice" w:id="1">
    <w:p w14:paraId="32A6DA7E" w14:textId="77777777" w:rsidR="00A529A1" w:rsidRDefault="00A52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71E02932"/>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6"/>
  </w:num>
  <w:num w:numId="11" w16cid:durableId="1905293643">
    <w:abstractNumId w:val="49"/>
  </w:num>
  <w:num w:numId="12" w16cid:durableId="695542424">
    <w:abstractNumId w:val="12"/>
  </w:num>
  <w:num w:numId="13" w16cid:durableId="1670712467">
    <w:abstractNumId w:val="45"/>
  </w:num>
  <w:num w:numId="14" w16cid:durableId="1154681435">
    <w:abstractNumId w:val="37"/>
  </w:num>
  <w:num w:numId="15" w16cid:durableId="140662971">
    <w:abstractNumId w:val="34"/>
  </w:num>
  <w:num w:numId="16" w16cid:durableId="973369102">
    <w:abstractNumId w:val="52"/>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3"/>
  </w:num>
  <w:num w:numId="22" w16cid:durableId="340395051">
    <w:abstractNumId w:val="33"/>
  </w:num>
  <w:num w:numId="23" w16cid:durableId="1281254846">
    <w:abstractNumId w:val="42"/>
  </w:num>
  <w:num w:numId="24" w16cid:durableId="658971410">
    <w:abstractNumId w:val="29"/>
  </w:num>
  <w:num w:numId="25" w16cid:durableId="1284076076">
    <w:abstractNumId w:val="14"/>
  </w:num>
  <w:num w:numId="26" w16cid:durableId="839783132">
    <w:abstractNumId w:val="41"/>
  </w:num>
  <w:num w:numId="27" w16cid:durableId="1437097176">
    <w:abstractNumId w:val="44"/>
  </w:num>
  <w:num w:numId="28" w16cid:durableId="65229482">
    <w:abstractNumId w:val="17"/>
  </w:num>
  <w:num w:numId="29" w16cid:durableId="1994405964">
    <w:abstractNumId w:val="50"/>
  </w:num>
  <w:num w:numId="30" w16cid:durableId="204104128">
    <w:abstractNumId w:val="9"/>
  </w:num>
  <w:num w:numId="31" w16cid:durableId="713433370">
    <w:abstractNumId w:val="40"/>
  </w:num>
  <w:num w:numId="32" w16cid:durableId="69932409">
    <w:abstractNumId w:val="47"/>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5"/>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3"/>
  </w:num>
  <w:num w:numId="46" w16cid:durableId="178128853">
    <w:abstractNumId w:val="35"/>
  </w:num>
  <w:num w:numId="47" w16cid:durableId="195238676">
    <w:abstractNumId w:val="46"/>
  </w:num>
  <w:num w:numId="48" w16cid:durableId="564990896">
    <w:abstractNumId w:val="21"/>
  </w:num>
  <w:num w:numId="49" w16cid:durableId="777990603">
    <w:abstractNumId w:val="13"/>
  </w:num>
  <w:num w:numId="50" w16cid:durableId="1838381759">
    <w:abstractNumId w:val="3"/>
  </w:num>
  <w:num w:numId="51" w16cid:durableId="1483540042">
    <w:abstractNumId w:val="54"/>
  </w:num>
  <w:num w:numId="52" w16cid:durableId="1773554595">
    <w:abstractNumId w:val="31"/>
  </w:num>
  <w:num w:numId="53" w16cid:durableId="1809319794">
    <w:abstractNumId w:val="23"/>
  </w:num>
  <w:num w:numId="54" w16cid:durableId="666790908">
    <w:abstractNumId w:val="51"/>
  </w:num>
  <w:num w:numId="55" w16cid:durableId="1653557246">
    <w:abstractNumId w:val="15"/>
  </w:num>
  <w:num w:numId="56" w16cid:durableId="955989919">
    <w:abstractNumId w:val="30"/>
  </w:num>
  <w:num w:numId="57" w16cid:durableId="877471930">
    <w:abstractNumId w:val="11"/>
  </w:num>
  <w:num w:numId="58" w16cid:durableId="1543979396">
    <w:abstractNumId w:val="48"/>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351"/>
    <w:rsid w:val="00042D64"/>
    <w:rsid w:val="0005752D"/>
    <w:rsid w:val="00057803"/>
    <w:rsid w:val="00062CCA"/>
    <w:rsid w:val="000711CC"/>
    <w:rsid w:val="00072C84"/>
    <w:rsid w:val="00073BF3"/>
    <w:rsid w:val="00082AC6"/>
    <w:rsid w:val="00092310"/>
    <w:rsid w:val="00092497"/>
    <w:rsid w:val="000A25CD"/>
    <w:rsid w:val="000A2FE1"/>
    <w:rsid w:val="000A47E5"/>
    <w:rsid w:val="000B32AA"/>
    <w:rsid w:val="000B438B"/>
    <w:rsid w:val="000C234F"/>
    <w:rsid w:val="000C4FED"/>
    <w:rsid w:val="000C5C39"/>
    <w:rsid w:val="000C6F2C"/>
    <w:rsid w:val="000C73D0"/>
    <w:rsid w:val="000E2A7C"/>
    <w:rsid w:val="000E2F9D"/>
    <w:rsid w:val="000E59D6"/>
    <w:rsid w:val="000F085B"/>
    <w:rsid w:val="000F270D"/>
    <w:rsid w:val="000F70EA"/>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86E98"/>
    <w:rsid w:val="00191291"/>
    <w:rsid w:val="001920A7"/>
    <w:rsid w:val="00192F18"/>
    <w:rsid w:val="00193B3E"/>
    <w:rsid w:val="001968F9"/>
    <w:rsid w:val="001A131E"/>
    <w:rsid w:val="001B1072"/>
    <w:rsid w:val="001B706D"/>
    <w:rsid w:val="001B71AE"/>
    <w:rsid w:val="001C6C3E"/>
    <w:rsid w:val="001C77D0"/>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25753"/>
    <w:rsid w:val="00227923"/>
    <w:rsid w:val="00233BEF"/>
    <w:rsid w:val="002360FC"/>
    <w:rsid w:val="00236EAB"/>
    <w:rsid w:val="002435DF"/>
    <w:rsid w:val="00245CE2"/>
    <w:rsid w:val="00246185"/>
    <w:rsid w:val="00250748"/>
    <w:rsid w:val="00250EB3"/>
    <w:rsid w:val="002513F6"/>
    <w:rsid w:val="00254A52"/>
    <w:rsid w:val="002572B7"/>
    <w:rsid w:val="002607CE"/>
    <w:rsid w:val="002661AE"/>
    <w:rsid w:val="00267759"/>
    <w:rsid w:val="00270C48"/>
    <w:rsid w:val="0027131C"/>
    <w:rsid w:val="002808DB"/>
    <w:rsid w:val="00280C6B"/>
    <w:rsid w:val="00287115"/>
    <w:rsid w:val="002925FD"/>
    <w:rsid w:val="00292BE6"/>
    <w:rsid w:val="002942EC"/>
    <w:rsid w:val="002A0C17"/>
    <w:rsid w:val="002A33FC"/>
    <w:rsid w:val="002A552E"/>
    <w:rsid w:val="002B119F"/>
    <w:rsid w:val="002B39C4"/>
    <w:rsid w:val="002B44EF"/>
    <w:rsid w:val="002B6F85"/>
    <w:rsid w:val="002B7EE1"/>
    <w:rsid w:val="002C2447"/>
    <w:rsid w:val="002C7A95"/>
    <w:rsid w:val="002D3109"/>
    <w:rsid w:val="002D55AB"/>
    <w:rsid w:val="002D62CD"/>
    <w:rsid w:val="002E2603"/>
    <w:rsid w:val="002E4C52"/>
    <w:rsid w:val="00301821"/>
    <w:rsid w:val="00307D06"/>
    <w:rsid w:val="003113D2"/>
    <w:rsid w:val="00311B9C"/>
    <w:rsid w:val="00316AD0"/>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72"/>
    <w:rsid w:val="00411DB0"/>
    <w:rsid w:val="0041324E"/>
    <w:rsid w:val="0041369D"/>
    <w:rsid w:val="00414852"/>
    <w:rsid w:val="004309B3"/>
    <w:rsid w:val="00431155"/>
    <w:rsid w:val="0043614F"/>
    <w:rsid w:val="00436A6A"/>
    <w:rsid w:val="004412CB"/>
    <w:rsid w:val="00443A10"/>
    <w:rsid w:val="00446648"/>
    <w:rsid w:val="00446A01"/>
    <w:rsid w:val="00447234"/>
    <w:rsid w:val="00450106"/>
    <w:rsid w:val="004507AB"/>
    <w:rsid w:val="004523D0"/>
    <w:rsid w:val="00460863"/>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3B30"/>
    <w:rsid w:val="004C50A5"/>
    <w:rsid w:val="004C59E0"/>
    <w:rsid w:val="004C5E5E"/>
    <w:rsid w:val="004D1DE7"/>
    <w:rsid w:val="004D5EDE"/>
    <w:rsid w:val="004E1AD4"/>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952AF"/>
    <w:rsid w:val="00596F44"/>
    <w:rsid w:val="005A0D0B"/>
    <w:rsid w:val="005A4C62"/>
    <w:rsid w:val="005A7F87"/>
    <w:rsid w:val="005B1DAD"/>
    <w:rsid w:val="005B612D"/>
    <w:rsid w:val="005B6439"/>
    <w:rsid w:val="005C1DA5"/>
    <w:rsid w:val="005C3D9D"/>
    <w:rsid w:val="005C51C0"/>
    <w:rsid w:val="005D54EE"/>
    <w:rsid w:val="005D598E"/>
    <w:rsid w:val="005E0F38"/>
    <w:rsid w:val="005E48A6"/>
    <w:rsid w:val="005E5B84"/>
    <w:rsid w:val="005E7DBA"/>
    <w:rsid w:val="005F2A18"/>
    <w:rsid w:val="006001BC"/>
    <w:rsid w:val="00601925"/>
    <w:rsid w:val="006071B3"/>
    <w:rsid w:val="006166F0"/>
    <w:rsid w:val="00624EBB"/>
    <w:rsid w:val="0062504B"/>
    <w:rsid w:val="006261FA"/>
    <w:rsid w:val="00630DB9"/>
    <w:rsid w:val="0067236B"/>
    <w:rsid w:val="006731CF"/>
    <w:rsid w:val="00674834"/>
    <w:rsid w:val="00682714"/>
    <w:rsid w:val="00684792"/>
    <w:rsid w:val="00693091"/>
    <w:rsid w:val="006961AB"/>
    <w:rsid w:val="00696C6E"/>
    <w:rsid w:val="00697FC7"/>
    <w:rsid w:val="006A201F"/>
    <w:rsid w:val="006B32D8"/>
    <w:rsid w:val="006B417B"/>
    <w:rsid w:val="006B4294"/>
    <w:rsid w:val="006B5ECE"/>
    <w:rsid w:val="006B760B"/>
    <w:rsid w:val="006B7B97"/>
    <w:rsid w:val="006B7C17"/>
    <w:rsid w:val="006C49BA"/>
    <w:rsid w:val="006D297E"/>
    <w:rsid w:val="006D614B"/>
    <w:rsid w:val="006E0E80"/>
    <w:rsid w:val="006E5DD6"/>
    <w:rsid w:val="006F1586"/>
    <w:rsid w:val="006F1A94"/>
    <w:rsid w:val="006F335A"/>
    <w:rsid w:val="006F6872"/>
    <w:rsid w:val="0070724B"/>
    <w:rsid w:val="007111BF"/>
    <w:rsid w:val="00713BB3"/>
    <w:rsid w:val="007149EA"/>
    <w:rsid w:val="0071577B"/>
    <w:rsid w:val="0073614E"/>
    <w:rsid w:val="00742BF6"/>
    <w:rsid w:val="00753198"/>
    <w:rsid w:val="00754510"/>
    <w:rsid w:val="0075768F"/>
    <w:rsid w:val="00760412"/>
    <w:rsid w:val="00762830"/>
    <w:rsid w:val="00764110"/>
    <w:rsid w:val="00766F9C"/>
    <w:rsid w:val="00776E97"/>
    <w:rsid w:val="0079061F"/>
    <w:rsid w:val="00793708"/>
    <w:rsid w:val="007A369E"/>
    <w:rsid w:val="007A5441"/>
    <w:rsid w:val="007C14BC"/>
    <w:rsid w:val="007C7D89"/>
    <w:rsid w:val="007D003F"/>
    <w:rsid w:val="007D3F19"/>
    <w:rsid w:val="007D4555"/>
    <w:rsid w:val="007D4786"/>
    <w:rsid w:val="007D722F"/>
    <w:rsid w:val="007F3440"/>
    <w:rsid w:val="007F422B"/>
    <w:rsid w:val="008066EC"/>
    <w:rsid w:val="00810712"/>
    <w:rsid w:val="00810BDC"/>
    <w:rsid w:val="008118BD"/>
    <w:rsid w:val="008119CB"/>
    <w:rsid w:val="008120E9"/>
    <w:rsid w:val="00812EC0"/>
    <w:rsid w:val="008161F3"/>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57D0"/>
    <w:rsid w:val="00886607"/>
    <w:rsid w:val="00895164"/>
    <w:rsid w:val="008A05ED"/>
    <w:rsid w:val="008A3057"/>
    <w:rsid w:val="008A4A0F"/>
    <w:rsid w:val="008B514A"/>
    <w:rsid w:val="008B6504"/>
    <w:rsid w:val="008B76EA"/>
    <w:rsid w:val="008C1046"/>
    <w:rsid w:val="008C1D50"/>
    <w:rsid w:val="008C6EC9"/>
    <w:rsid w:val="008D4FE9"/>
    <w:rsid w:val="008D6160"/>
    <w:rsid w:val="008D792A"/>
    <w:rsid w:val="008E0737"/>
    <w:rsid w:val="008E4851"/>
    <w:rsid w:val="008F3297"/>
    <w:rsid w:val="008F3F61"/>
    <w:rsid w:val="00900D4B"/>
    <w:rsid w:val="0090110E"/>
    <w:rsid w:val="00901694"/>
    <w:rsid w:val="009043E4"/>
    <w:rsid w:val="00904955"/>
    <w:rsid w:val="00905228"/>
    <w:rsid w:val="009073DB"/>
    <w:rsid w:val="00934A60"/>
    <w:rsid w:val="009457AA"/>
    <w:rsid w:val="00950DA5"/>
    <w:rsid w:val="0095158D"/>
    <w:rsid w:val="00955ACD"/>
    <w:rsid w:val="009562C9"/>
    <w:rsid w:val="00957DEB"/>
    <w:rsid w:val="00965CB5"/>
    <w:rsid w:val="00972789"/>
    <w:rsid w:val="009739DD"/>
    <w:rsid w:val="00975A43"/>
    <w:rsid w:val="00984517"/>
    <w:rsid w:val="00986F61"/>
    <w:rsid w:val="0099309D"/>
    <w:rsid w:val="00996636"/>
    <w:rsid w:val="00997D13"/>
    <w:rsid w:val="009A29CE"/>
    <w:rsid w:val="009A73CA"/>
    <w:rsid w:val="009A7972"/>
    <w:rsid w:val="009B094B"/>
    <w:rsid w:val="009C1274"/>
    <w:rsid w:val="009C16F0"/>
    <w:rsid w:val="009C71BB"/>
    <w:rsid w:val="009D07D7"/>
    <w:rsid w:val="009D3C93"/>
    <w:rsid w:val="009D735F"/>
    <w:rsid w:val="009E13CB"/>
    <w:rsid w:val="009E6E94"/>
    <w:rsid w:val="009E7224"/>
    <w:rsid w:val="009F38DD"/>
    <w:rsid w:val="00A02D05"/>
    <w:rsid w:val="00A03DDA"/>
    <w:rsid w:val="00A05165"/>
    <w:rsid w:val="00A10223"/>
    <w:rsid w:val="00A15251"/>
    <w:rsid w:val="00A17260"/>
    <w:rsid w:val="00A23250"/>
    <w:rsid w:val="00A26901"/>
    <w:rsid w:val="00A2693D"/>
    <w:rsid w:val="00A27B16"/>
    <w:rsid w:val="00A27C38"/>
    <w:rsid w:val="00A306D4"/>
    <w:rsid w:val="00A31046"/>
    <w:rsid w:val="00A374AB"/>
    <w:rsid w:val="00A41BE7"/>
    <w:rsid w:val="00A423AF"/>
    <w:rsid w:val="00A479B3"/>
    <w:rsid w:val="00A47A6C"/>
    <w:rsid w:val="00A515FA"/>
    <w:rsid w:val="00A527A6"/>
    <w:rsid w:val="00A529A1"/>
    <w:rsid w:val="00A52E37"/>
    <w:rsid w:val="00A53CDD"/>
    <w:rsid w:val="00A540D5"/>
    <w:rsid w:val="00A61936"/>
    <w:rsid w:val="00A61B26"/>
    <w:rsid w:val="00A63D23"/>
    <w:rsid w:val="00A648CF"/>
    <w:rsid w:val="00A70880"/>
    <w:rsid w:val="00A715A4"/>
    <w:rsid w:val="00A72568"/>
    <w:rsid w:val="00A76DD8"/>
    <w:rsid w:val="00A84086"/>
    <w:rsid w:val="00A84DED"/>
    <w:rsid w:val="00A921F8"/>
    <w:rsid w:val="00AA4634"/>
    <w:rsid w:val="00AA48B5"/>
    <w:rsid w:val="00AA5071"/>
    <w:rsid w:val="00AA56BA"/>
    <w:rsid w:val="00AA6CE4"/>
    <w:rsid w:val="00AC00A2"/>
    <w:rsid w:val="00AC18D5"/>
    <w:rsid w:val="00AC479B"/>
    <w:rsid w:val="00AD2987"/>
    <w:rsid w:val="00AE1049"/>
    <w:rsid w:val="00AE4B95"/>
    <w:rsid w:val="00AE6D63"/>
    <w:rsid w:val="00AE7C30"/>
    <w:rsid w:val="00AF4B3F"/>
    <w:rsid w:val="00B03136"/>
    <w:rsid w:val="00B05151"/>
    <w:rsid w:val="00B158C1"/>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95076"/>
    <w:rsid w:val="00B972FC"/>
    <w:rsid w:val="00BA0D07"/>
    <w:rsid w:val="00BB6809"/>
    <w:rsid w:val="00BC2066"/>
    <w:rsid w:val="00BD07BA"/>
    <w:rsid w:val="00BD19FC"/>
    <w:rsid w:val="00BE5956"/>
    <w:rsid w:val="00BE7532"/>
    <w:rsid w:val="00BF3C59"/>
    <w:rsid w:val="00BF58E8"/>
    <w:rsid w:val="00BF7B4E"/>
    <w:rsid w:val="00C15AAD"/>
    <w:rsid w:val="00C2006C"/>
    <w:rsid w:val="00C2149A"/>
    <w:rsid w:val="00C21A8B"/>
    <w:rsid w:val="00C23728"/>
    <w:rsid w:val="00C26AC1"/>
    <w:rsid w:val="00C30A91"/>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A0DEB"/>
    <w:rsid w:val="00CA3286"/>
    <w:rsid w:val="00CB0B8E"/>
    <w:rsid w:val="00CB13DA"/>
    <w:rsid w:val="00CB273E"/>
    <w:rsid w:val="00CB539B"/>
    <w:rsid w:val="00CB7115"/>
    <w:rsid w:val="00CC0054"/>
    <w:rsid w:val="00CC2FA6"/>
    <w:rsid w:val="00CC35AD"/>
    <w:rsid w:val="00CC3A8F"/>
    <w:rsid w:val="00CD09A2"/>
    <w:rsid w:val="00CE1264"/>
    <w:rsid w:val="00CE6E61"/>
    <w:rsid w:val="00CF38BE"/>
    <w:rsid w:val="00CF7A57"/>
    <w:rsid w:val="00D023E1"/>
    <w:rsid w:val="00D03AB2"/>
    <w:rsid w:val="00D061BB"/>
    <w:rsid w:val="00D06D86"/>
    <w:rsid w:val="00D076DC"/>
    <w:rsid w:val="00D07BE3"/>
    <w:rsid w:val="00D11DA8"/>
    <w:rsid w:val="00D1666B"/>
    <w:rsid w:val="00D20534"/>
    <w:rsid w:val="00D22AC2"/>
    <w:rsid w:val="00D22D73"/>
    <w:rsid w:val="00D27691"/>
    <w:rsid w:val="00D27CAE"/>
    <w:rsid w:val="00D34F59"/>
    <w:rsid w:val="00D452A8"/>
    <w:rsid w:val="00D460CB"/>
    <w:rsid w:val="00D46B1E"/>
    <w:rsid w:val="00D50271"/>
    <w:rsid w:val="00D54251"/>
    <w:rsid w:val="00D560E2"/>
    <w:rsid w:val="00D57C33"/>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2E2"/>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BA6"/>
    <w:rsid w:val="00E34E48"/>
    <w:rsid w:val="00E4026B"/>
    <w:rsid w:val="00E43B4D"/>
    <w:rsid w:val="00E72A12"/>
    <w:rsid w:val="00E817E2"/>
    <w:rsid w:val="00E87266"/>
    <w:rsid w:val="00E91600"/>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1B34"/>
    <w:rsid w:val="00EE3A80"/>
    <w:rsid w:val="00EE510B"/>
    <w:rsid w:val="00EF1EF2"/>
    <w:rsid w:val="00EF223D"/>
    <w:rsid w:val="00F047FE"/>
    <w:rsid w:val="00F06A15"/>
    <w:rsid w:val="00F07CA3"/>
    <w:rsid w:val="00F106F7"/>
    <w:rsid w:val="00F14C5F"/>
    <w:rsid w:val="00F16757"/>
    <w:rsid w:val="00F2420D"/>
    <w:rsid w:val="00F25C12"/>
    <w:rsid w:val="00F34B7A"/>
    <w:rsid w:val="00F362FC"/>
    <w:rsid w:val="00F37AE2"/>
    <w:rsid w:val="00F45FEA"/>
    <w:rsid w:val="00F504C7"/>
    <w:rsid w:val="00F5124B"/>
    <w:rsid w:val="00F54741"/>
    <w:rsid w:val="00F7207A"/>
    <w:rsid w:val="00F72BF5"/>
    <w:rsid w:val="00F80685"/>
    <w:rsid w:val="00F8656B"/>
    <w:rsid w:val="00FA5B7E"/>
    <w:rsid w:val="00FB0A24"/>
    <w:rsid w:val="00FC40B2"/>
    <w:rsid w:val="00FD19C7"/>
    <w:rsid w:val="00FE459D"/>
    <w:rsid w:val="00FE6A5E"/>
    <w:rsid w:val="00FE6D63"/>
    <w:rsid w:val="00FE7AFB"/>
    <w:rsid w:val="00FF0403"/>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katerine.basaria@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2.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3.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customXml/itemProps4.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3008</Words>
  <Characters>15762</Characters>
  <Application>Microsoft Office Word</Application>
  <DocSecurity>0</DocSecurity>
  <Lines>437</Lines>
  <Paragraphs>272</Paragraphs>
  <ScaleCrop>false</ScaleCrop>
  <Manager/>
  <Company/>
  <LinksUpToDate>false</LinksUpToDate>
  <CharactersWithSpaces>18498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2024-03-12T07:30:00Z</dcterms:created>
  <dcterms:modified xsi:type="dcterms:W3CDTF">2024-03-12T07:30:00Z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