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3F64FB90" w:rsidR="006F3955" w:rsidRPr="0095114F"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95114F">
                                  <w:rPr>
                                    <w:rFonts w:cs="Arial"/>
                                    <w:b/>
                                    <w:color w:val="auto"/>
                                    <w:sz w:val="40"/>
                                    <w:szCs w:val="56"/>
                                    <w:lang w:val="ka-GE"/>
                                  </w:rPr>
                                  <w:t>ტენდერი ბანკომატების 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3F64FB90" w:rsidR="006F3955" w:rsidRPr="0095114F"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95114F">
                            <w:rPr>
                              <w:rFonts w:cs="Arial"/>
                              <w:b/>
                              <w:color w:val="auto"/>
                              <w:sz w:val="40"/>
                              <w:szCs w:val="56"/>
                              <w:lang w:val="ka-GE"/>
                            </w:rPr>
                            <w:t>ტენდერი ბანკომატების 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1C82947E" w:rsidR="006F3955" w:rsidRDefault="00D75A62" w:rsidP="007C5AE6">
                                      <w:pPr>
                                        <w:rPr>
                                          <w:lang w:val="ka-GE"/>
                                        </w:rPr>
                                      </w:pPr>
                                      <w:r>
                                        <w:t>15</w:t>
                                      </w:r>
                                      <w:r w:rsidR="006F3955">
                                        <w:rPr>
                                          <w:lang w:val="ka-GE"/>
                                        </w:rPr>
                                        <w:t xml:space="preserve"> </w:t>
                                      </w:r>
                                      <w:r w:rsidR="0095114F">
                                        <w:rPr>
                                          <w:lang w:val="ka-GE"/>
                                        </w:rPr>
                                        <w:t>მარტი</w:t>
                                      </w:r>
                                      <w:r w:rsidR="006F3955">
                                        <w:rPr>
                                          <w:lang w:val="ka-GE"/>
                                        </w:rPr>
                                        <w:t xml:space="preserve"> 20</w:t>
                                      </w:r>
                                      <w:r w:rsidR="00FB36CD">
                                        <w:rPr>
                                          <w:lang w:val="ka-GE"/>
                                        </w:rPr>
                                        <w:t>24</w:t>
                                      </w:r>
                                    </w:p>
                                    <w:p w14:paraId="5273460A" w14:textId="07A8CCF3" w:rsidR="006F3955" w:rsidRPr="00415C7C" w:rsidRDefault="00D75A62" w:rsidP="00FF70BF">
                                      <w:pPr>
                                        <w:rPr>
                                          <w:lang w:val="ka-GE"/>
                                        </w:rPr>
                                      </w:pPr>
                                      <w:r>
                                        <w:t>22</w:t>
                                      </w:r>
                                      <w:r w:rsidR="006F3955">
                                        <w:rPr>
                                          <w:lang w:val="ka-GE"/>
                                        </w:rPr>
                                        <w:t xml:space="preserve"> </w:t>
                                      </w:r>
                                      <w:r w:rsidR="002348C6">
                                        <w:rPr>
                                          <w:lang w:val="ka-GE"/>
                                        </w:rPr>
                                        <w:t>მარტი</w:t>
                                      </w:r>
                                      <w:r w:rsidR="00F94DFC">
                                        <w:rPr>
                                          <w:lang w:val="ka-GE"/>
                                        </w:rPr>
                                        <w:t xml:space="preserve"> 20</w:t>
                                      </w:r>
                                      <w:r w:rsidR="00FB36CD">
                                        <w:rPr>
                                          <w:lang w:val="ka-GE"/>
                                        </w:rPr>
                                        <w:t xml:space="preserve">24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6F189EC8" w14:textId="77777777" w:rsidR="00FB36CD" w:rsidRDefault="00FB36CD" w:rsidP="00313B50">
                                      <w:pPr>
                                        <w:rPr>
                                          <w:lang w:val="ka-GE"/>
                                        </w:rPr>
                                      </w:pPr>
                                      <w:r>
                                        <w:rPr>
                                          <w:lang w:val="ka-GE"/>
                                        </w:rPr>
                                        <w:t>ნინო ბუშელაშვილი</w:t>
                                      </w:r>
                                    </w:p>
                                    <w:p w14:paraId="7B428894" w14:textId="462E2551" w:rsidR="006F3955" w:rsidRDefault="00FB36CD" w:rsidP="00313B50">
                                      <w:pPr>
                                        <w:rPr>
                                          <w:lang w:val="ka-GE"/>
                                        </w:rPr>
                                      </w:pPr>
                                      <w:r>
                                        <w:t>nbushelashvili</w:t>
                                      </w:r>
                                      <w:r w:rsidR="00FF70BF">
                                        <w:t>@bog.ge</w:t>
                                      </w:r>
                                      <w:hyperlink r:id="rId9" w:history="1"/>
                                    </w:p>
                                    <w:p w14:paraId="2D516649" w14:textId="6EE37705" w:rsidR="002348C6" w:rsidRPr="002348C6" w:rsidRDefault="00FF70BF" w:rsidP="00FF70BF">
                                      <w:pPr>
                                        <w:rPr>
                                          <w:lang w:val="ka-GE"/>
                                        </w:rPr>
                                      </w:pPr>
                                      <w:r>
                                        <w:rPr>
                                          <w:lang w:val="ka-GE"/>
                                        </w:rPr>
                                        <w:t>59</w:t>
                                      </w:r>
                                      <w:r w:rsidR="00FB36CD">
                                        <w:rPr>
                                          <w:lang w:val="ka-GE"/>
                                        </w:rPr>
                                        <w:t>5 490 199</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1C82947E" w:rsidR="006F3955" w:rsidRDefault="00D75A62" w:rsidP="007C5AE6">
                                <w:pPr>
                                  <w:rPr>
                                    <w:lang w:val="ka-GE"/>
                                  </w:rPr>
                                </w:pPr>
                                <w:r>
                                  <w:t>15</w:t>
                                </w:r>
                                <w:r w:rsidR="006F3955">
                                  <w:rPr>
                                    <w:lang w:val="ka-GE"/>
                                  </w:rPr>
                                  <w:t xml:space="preserve"> </w:t>
                                </w:r>
                                <w:r w:rsidR="0095114F">
                                  <w:rPr>
                                    <w:lang w:val="ka-GE"/>
                                  </w:rPr>
                                  <w:t>მარტი</w:t>
                                </w:r>
                                <w:r w:rsidR="006F3955">
                                  <w:rPr>
                                    <w:lang w:val="ka-GE"/>
                                  </w:rPr>
                                  <w:t xml:space="preserve"> 20</w:t>
                                </w:r>
                                <w:r w:rsidR="00FB36CD">
                                  <w:rPr>
                                    <w:lang w:val="ka-GE"/>
                                  </w:rPr>
                                  <w:t>24</w:t>
                                </w:r>
                              </w:p>
                              <w:p w14:paraId="5273460A" w14:textId="07A8CCF3" w:rsidR="006F3955" w:rsidRPr="00415C7C" w:rsidRDefault="00D75A62" w:rsidP="00FF70BF">
                                <w:pPr>
                                  <w:rPr>
                                    <w:lang w:val="ka-GE"/>
                                  </w:rPr>
                                </w:pPr>
                                <w:r>
                                  <w:t>22</w:t>
                                </w:r>
                                <w:r w:rsidR="006F3955">
                                  <w:rPr>
                                    <w:lang w:val="ka-GE"/>
                                  </w:rPr>
                                  <w:t xml:space="preserve"> </w:t>
                                </w:r>
                                <w:r w:rsidR="002348C6">
                                  <w:rPr>
                                    <w:lang w:val="ka-GE"/>
                                  </w:rPr>
                                  <w:t>მარტი</w:t>
                                </w:r>
                                <w:r w:rsidR="00F94DFC">
                                  <w:rPr>
                                    <w:lang w:val="ka-GE"/>
                                  </w:rPr>
                                  <w:t xml:space="preserve"> 20</w:t>
                                </w:r>
                                <w:r w:rsidR="00FB36CD">
                                  <w:rPr>
                                    <w:lang w:val="ka-GE"/>
                                  </w:rPr>
                                  <w:t xml:space="preserve">24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6F189EC8" w14:textId="77777777" w:rsidR="00FB36CD" w:rsidRDefault="00FB36CD" w:rsidP="00313B50">
                                <w:pPr>
                                  <w:rPr>
                                    <w:lang w:val="ka-GE"/>
                                  </w:rPr>
                                </w:pPr>
                                <w:r>
                                  <w:rPr>
                                    <w:lang w:val="ka-GE"/>
                                  </w:rPr>
                                  <w:t>ნინო ბუშელაშვილი</w:t>
                                </w:r>
                              </w:p>
                              <w:p w14:paraId="7B428894" w14:textId="462E2551" w:rsidR="006F3955" w:rsidRDefault="00FB36CD" w:rsidP="00313B50">
                                <w:pPr>
                                  <w:rPr>
                                    <w:lang w:val="ka-GE"/>
                                  </w:rPr>
                                </w:pPr>
                                <w:r>
                                  <w:t>nbushelashvili</w:t>
                                </w:r>
                                <w:r w:rsidR="00FF70BF">
                                  <w:t>@bog.ge</w:t>
                                </w:r>
                                <w:hyperlink r:id="rId10" w:history="1"/>
                              </w:p>
                              <w:p w14:paraId="2D516649" w14:textId="6EE37705" w:rsidR="002348C6" w:rsidRPr="002348C6" w:rsidRDefault="00FF70BF" w:rsidP="00FF70BF">
                                <w:pPr>
                                  <w:rPr>
                                    <w:lang w:val="ka-GE"/>
                                  </w:rPr>
                                </w:pPr>
                                <w:r>
                                  <w:rPr>
                                    <w:lang w:val="ka-GE"/>
                                  </w:rPr>
                                  <w:t>59</w:t>
                                </w:r>
                                <w:r w:rsidR="00FB36CD">
                                  <w:rPr>
                                    <w:lang w:val="ka-GE"/>
                                  </w:rPr>
                                  <w:t>5 490 199</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bookmarkStart w:id="0" w:name="_GoBack" w:displacedByCustomXml="next"/>
        <w:bookmarkEnd w:id="0" w:displacedByCustomXml="next"/>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0BC96D15" w14:textId="77777777" w:rsidR="008134F9" w:rsidRPr="0095114F" w:rsidRDefault="008134F9" w:rsidP="008134F9">
      <w:pPr>
        <w:jc w:val="center"/>
        <w:rPr>
          <w:b/>
          <w:color w:val="E36C0A" w:themeColor="accent6" w:themeShade="BF"/>
          <w:sz w:val="44"/>
          <w:szCs w:val="56"/>
          <w:lang w:val="ka-GE"/>
        </w:rPr>
      </w:pPr>
      <w:bookmarkStart w:id="1" w:name="_Toc456350217"/>
      <w:bookmarkStart w:id="2" w:name="_Toc456347628"/>
      <w:r>
        <w:rPr>
          <w:rFonts w:cs="Arial"/>
          <w:b/>
          <w:color w:val="auto"/>
          <w:sz w:val="40"/>
          <w:szCs w:val="56"/>
          <w:lang w:val="ka-GE"/>
        </w:rPr>
        <w:t>ტენდერი ბანკომატების შესყიდვაზე</w:t>
      </w:r>
    </w:p>
    <w:p w14:paraId="1D0556CD" w14:textId="761F2ECD" w:rsidR="001A65B2" w:rsidRPr="001C15B4" w:rsidRDefault="001A65B2"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77777777"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B41F9B">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B41F9B">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B41F9B">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B41F9B">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3" w:name="_Toc534810151"/>
      <w:bookmarkStart w:id="4" w:name="_Toc22227845"/>
      <w:bookmarkStart w:id="5" w:name="_Toc462407871"/>
      <w:bookmarkEnd w:id="1"/>
      <w:bookmarkEnd w:id="2"/>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3"/>
      <w:bookmarkEnd w:id="4"/>
    </w:p>
    <w:p w14:paraId="635AF4D9" w14:textId="4276BDED" w:rsidR="00D1450D" w:rsidRDefault="00D1450D" w:rsidP="00D1450D">
      <w:pPr>
        <w:rPr>
          <w:rFonts w:eastAsiaTheme="minorEastAsia" w:cs="Sylfaen"/>
          <w:lang w:eastAsia="ja-JP"/>
        </w:rPr>
      </w:pPr>
      <w:r w:rsidRPr="001C15B4">
        <w:rPr>
          <w:rFonts w:eastAsiaTheme="minorEastAsia" w:cs="Sylfaen"/>
          <w:lang w:val="ka-GE" w:eastAsia="ja-JP"/>
        </w:rPr>
        <w:t>სს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საქართველოს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ბანკი</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აცხადებს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ტენდერს</w:t>
      </w:r>
      <w:r w:rsidRPr="00424B6B">
        <w:rPr>
          <w:rFonts w:eastAsiaTheme="minorEastAsia" w:cs="Sylfaen"/>
          <w:lang w:val="ka-GE" w:eastAsia="ja-JP"/>
        </w:rPr>
        <w:t xml:space="preserve"> </w:t>
      </w:r>
      <w:r w:rsidR="008134F9">
        <w:rPr>
          <w:rFonts w:eastAsiaTheme="minorEastAsia" w:cs="Sylfaen"/>
          <w:lang w:val="ka-GE" w:eastAsia="ja-JP"/>
        </w:rPr>
        <w:t>ბანკომატ</w:t>
      </w:r>
      <w:r w:rsidR="006953DA">
        <w:rPr>
          <w:rFonts w:eastAsiaTheme="minorEastAsia" w:cs="Sylfaen"/>
          <w:lang w:val="ka-GE" w:eastAsia="ja-JP"/>
        </w:rPr>
        <w:t xml:space="preserve">ების </w:t>
      </w:r>
      <w:r w:rsidRPr="00424B6B">
        <w:rPr>
          <w:rFonts w:eastAsiaTheme="minorEastAsia" w:cs="Sylfaen"/>
          <w:lang w:val="ka-GE" w:eastAsia="ja-JP"/>
        </w:rPr>
        <w:t xml:space="preserve"> შესყიდვის მიზნით.</w:t>
      </w:r>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07E8D398" w14:textId="4003781A" w:rsidR="00C525A4" w:rsidRPr="00BF7F13" w:rsidRDefault="005B05BC" w:rsidP="00C525A4">
      <w:pPr>
        <w:rPr>
          <w:rFonts w:eastAsiaTheme="minorEastAsia"/>
          <w:lang w:val="ka-GE" w:eastAsia="ja-JP"/>
        </w:rPr>
      </w:pPr>
      <w:r w:rsidRPr="005B05BC">
        <w:rPr>
          <w:lang w:val="ka-GE"/>
        </w:rPr>
        <w:t>ბანკი უფლებამოსილია ნებისმიერ დროს შეწყვიტოს, გააუქმოს ან გადაავადოს ტენდერი თავისი შეხედულებისამებრ.</w:t>
      </w:r>
    </w:p>
    <w:p w14:paraId="440620A3" w14:textId="77777777" w:rsidR="00C525A4" w:rsidRPr="00BF7F13" w:rsidRDefault="00C525A4" w:rsidP="00C525A4">
      <w:pPr>
        <w:rPr>
          <w:rFonts w:eastAsiaTheme="minorEastAsia"/>
          <w:lang w:eastAsia="ja-JP"/>
        </w:rPr>
      </w:pPr>
    </w:p>
    <w:p w14:paraId="4DC2E55E" w14:textId="20A07D65" w:rsidR="00C525A4" w:rsidRDefault="00C525A4" w:rsidP="00A718EF">
      <w:pPr>
        <w:rPr>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1784B6C7" w14:textId="77777777" w:rsidR="005B05BC" w:rsidRDefault="005B05BC" w:rsidP="00A718EF">
      <w:pPr>
        <w:rPr>
          <w:lang w:val="ka-GE"/>
        </w:rPr>
      </w:pPr>
    </w:p>
    <w:p w14:paraId="2209D055" w14:textId="520E13EA" w:rsidR="00A66B58" w:rsidRPr="005B05BC" w:rsidRDefault="005B05BC" w:rsidP="005B05BC">
      <w:pPr>
        <w:spacing w:after="200" w:line="276" w:lineRule="auto"/>
        <w:rPr>
          <w:rFonts w:cs="Sylfaen"/>
          <w:lang w:val="ka-GE"/>
        </w:rPr>
      </w:pPr>
      <w:r w:rsidRPr="005B05BC">
        <w:rPr>
          <w:rFonts w:cs="Sylfaen"/>
          <w:lang w:val="ka-GE"/>
        </w:rPr>
        <w:t>მონაწილე კომპანიების შეფასება მოხდება შემდეგი კრიტერიუმების გათვალისწინებით: ფასი</w:t>
      </w:r>
      <w:r w:rsidR="00346479">
        <w:rPr>
          <w:rFonts w:cs="Sylfaen"/>
          <w:lang w:val="ka-GE"/>
        </w:rPr>
        <w:t xml:space="preserve"> 80%</w:t>
      </w:r>
      <w:r w:rsidRPr="005B05BC">
        <w:rPr>
          <w:rFonts w:cs="Sylfaen"/>
          <w:lang w:val="ka-GE"/>
        </w:rPr>
        <w:t>, მოწოდების ვადა</w:t>
      </w:r>
      <w:r w:rsidR="00346479">
        <w:rPr>
          <w:rFonts w:cs="Sylfaen"/>
          <w:lang w:val="ka-GE"/>
        </w:rPr>
        <w:t xml:space="preserve"> 10%</w:t>
      </w:r>
      <w:r w:rsidRPr="005B05BC">
        <w:rPr>
          <w:rFonts w:cs="Sylfaen"/>
          <w:lang w:val="ka-GE"/>
        </w:rPr>
        <w:t xml:space="preserve">, </w:t>
      </w:r>
      <w:r w:rsidR="00346479">
        <w:rPr>
          <w:rFonts w:cs="Sylfaen"/>
          <w:lang w:val="ka-GE"/>
        </w:rPr>
        <w:t>გარანტია 10%.</w:t>
      </w:r>
    </w:p>
    <w:p w14:paraId="6D6915B5" w14:textId="437FC3BB" w:rsid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5B05BC">
        <w:rPr>
          <w:lang w:val="ka-GE"/>
        </w:rPr>
        <w:t xml:space="preserve">აშშ </w:t>
      </w:r>
      <w:r w:rsidR="008464E9">
        <w:rPr>
          <w:lang w:val="ka-GE"/>
        </w:rPr>
        <w:t xml:space="preserve">დოლარში </w:t>
      </w:r>
      <w:r w:rsidRPr="00A66B58">
        <w:rPr>
          <w:lang w:val="ka-GE"/>
        </w:rPr>
        <w:t>მოიცავდეს კანონმდებლობით გათვალისწინებულ გადასახადებს და გადასახდელებს.</w:t>
      </w:r>
    </w:p>
    <w:p w14:paraId="6B6402B4" w14:textId="46598494" w:rsidR="0043167D" w:rsidRDefault="0043167D" w:rsidP="00A66B58">
      <w:pPr>
        <w:rPr>
          <w:lang w:val="ka-GE"/>
        </w:rPr>
      </w:pPr>
    </w:p>
    <w:p w14:paraId="76C8AE92" w14:textId="6C6B7296" w:rsidR="0043167D" w:rsidRPr="00786A86" w:rsidRDefault="0043167D" w:rsidP="00A66B58">
      <w:pPr>
        <w:rPr>
          <w:lang w:val="ka-GE"/>
        </w:rPr>
      </w:pPr>
      <w:r w:rsidRPr="0043167D">
        <w:rPr>
          <w:lang w:val="ka-GE"/>
        </w:rPr>
        <w:t>ბანკი უფლებამოსილია ნებისმიერ დროს შეწყვიტოს, გააუქმოს ან გადაავადოს ტენდერი თავისი შეხედულებისამებრ;</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6" w:name="_Toc534810155"/>
      <w:bookmarkStart w:id="7" w:name="_Toc22227846"/>
      <w:r w:rsidRPr="00BF7F13">
        <w:rPr>
          <w:rFonts w:eastAsiaTheme="majorEastAsia" w:cstheme="majorBidi"/>
          <w:b/>
          <w:color w:val="FF671B"/>
          <w:sz w:val="24"/>
          <w:szCs w:val="28"/>
          <w:lang w:val="ka-GE" w:eastAsia="ja-JP"/>
        </w:rPr>
        <w:t>სატენდერო მოთხოვნები</w:t>
      </w:r>
      <w:bookmarkEnd w:id="6"/>
      <w:bookmarkEnd w:id="7"/>
    </w:p>
    <w:p w14:paraId="0A8D866C" w14:textId="0AF70D48" w:rsidR="00AA0BE9" w:rsidRDefault="00AA0BE9" w:rsidP="00AA0BE9">
      <w:pPr>
        <w:pStyle w:val="ListParagraph"/>
        <w:numPr>
          <w:ilvl w:val="0"/>
          <w:numId w:val="15"/>
        </w:numPr>
        <w:spacing w:after="200" w:line="276" w:lineRule="auto"/>
        <w:rPr>
          <w:rFonts w:cs="Sylfaen"/>
          <w:lang w:val="ka-GE"/>
        </w:rPr>
      </w:pPr>
      <w:r>
        <w:rPr>
          <w:rFonts w:cs="Sylfaen"/>
          <w:b/>
          <w:lang w:val="ka-GE"/>
        </w:rPr>
        <w:t>საგარანტიო პერიოდი:</w:t>
      </w:r>
      <w:r>
        <w:rPr>
          <w:rFonts w:cs="Sylfaen"/>
          <w:lang w:val="ka-GE"/>
        </w:rPr>
        <w:t xml:space="preserve"> </w:t>
      </w:r>
      <w:proofErr w:type="spellStart"/>
      <w:r>
        <w:rPr>
          <w:rFonts w:cs="Sylfaen"/>
        </w:rPr>
        <w:t>პრეტენდენტი</w:t>
      </w:r>
      <w:proofErr w:type="spellEnd"/>
      <w:r>
        <w:rPr>
          <w:rFonts w:cs="Sylfaen"/>
        </w:rPr>
        <w:t xml:space="preserve"> </w:t>
      </w:r>
      <w:proofErr w:type="spellStart"/>
      <w:r>
        <w:rPr>
          <w:rFonts w:cs="Sylfaen"/>
        </w:rPr>
        <w:t>განსაზღვრავს</w:t>
      </w:r>
      <w:proofErr w:type="spellEnd"/>
      <w:r>
        <w:rPr>
          <w:rFonts w:cs="Sylfaen"/>
        </w:rPr>
        <w:t xml:space="preserve"> </w:t>
      </w:r>
      <w:proofErr w:type="spellStart"/>
      <w:r>
        <w:rPr>
          <w:rFonts w:cs="Sylfaen"/>
        </w:rPr>
        <w:t>თავად</w:t>
      </w:r>
      <w:proofErr w:type="spellEnd"/>
      <w:r>
        <w:rPr>
          <w:rFonts w:cs="Sylfaen"/>
        </w:rPr>
        <w:t xml:space="preserve"> </w:t>
      </w:r>
      <w:proofErr w:type="spellStart"/>
      <w:r>
        <w:rPr>
          <w:rFonts w:cs="Sylfaen"/>
        </w:rPr>
        <w:t>და</w:t>
      </w:r>
      <w:proofErr w:type="spellEnd"/>
      <w:r>
        <w:rPr>
          <w:rFonts w:cs="Sylfaen"/>
        </w:rPr>
        <w:t xml:space="preserve"> </w:t>
      </w:r>
      <w:proofErr w:type="spellStart"/>
      <w:r>
        <w:rPr>
          <w:rFonts w:cs="Sylfaen"/>
        </w:rPr>
        <w:t>უთითებს</w:t>
      </w:r>
      <w:proofErr w:type="spellEnd"/>
      <w:r>
        <w:rPr>
          <w:rFonts w:cs="Sylfaen"/>
        </w:rPr>
        <w:t xml:space="preserve"> </w:t>
      </w:r>
      <w:proofErr w:type="spellStart"/>
      <w:r>
        <w:rPr>
          <w:rFonts w:cs="Sylfaen"/>
        </w:rPr>
        <w:t>დანართ</w:t>
      </w:r>
      <w:proofErr w:type="spellEnd"/>
      <w:r>
        <w:rPr>
          <w:rFonts w:cs="Sylfaen"/>
        </w:rPr>
        <w:t xml:space="preserve"> N1-ში</w:t>
      </w:r>
      <w:r>
        <w:rPr>
          <w:rFonts w:cs="Sylfaen"/>
          <w:lang w:val="ka-GE"/>
        </w:rPr>
        <w:t>, მაგრამ არ უნდა იყოს 12 თვეზე ნაკლები;</w:t>
      </w:r>
    </w:p>
    <w:p w14:paraId="1555671D" w14:textId="133911A8" w:rsidR="00B8474F" w:rsidRDefault="00B8474F" w:rsidP="00AA0BE9">
      <w:pPr>
        <w:pStyle w:val="ListParagraph"/>
        <w:numPr>
          <w:ilvl w:val="0"/>
          <w:numId w:val="15"/>
        </w:numPr>
        <w:spacing w:after="200" w:line="276" w:lineRule="auto"/>
        <w:rPr>
          <w:rFonts w:cs="Sylfaen"/>
          <w:lang w:val="ka-GE"/>
        </w:rPr>
      </w:pPr>
      <w:r w:rsidRPr="00AA2871">
        <w:rPr>
          <w:rFonts w:cs="Sylfaen"/>
          <w:b/>
          <w:lang w:val="ka-GE"/>
        </w:rPr>
        <w:t xml:space="preserve">მიწოდების მისამართი: </w:t>
      </w:r>
      <w:r w:rsidR="00346479">
        <w:rPr>
          <w:rFonts w:cs="Sylfaen"/>
          <w:lang w:val="ka-GE"/>
        </w:rPr>
        <w:t xml:space="preserve"> </w:t>
      </w:r>
      <w:r w:rsidR="00523A9F" w:rsidRPr="00523A9F">
        <w:rPr>
          <w:rFonts w:cs="Sylfaen"/>
          <w:lang w:val="ka-GE"/>
        </w:rPr>
        <w:t xml:space="preserve">ქ. </w:t>
      </w:r>
      <w:r w:rsidR="00523A9F" w:rsidRPr="002B0B65">
        <w:rPr>
          <w:rFonts w:cs="Sylfaen"/>
          <w:lang w:val="ka-GE"/>
        </w:rPr>
        <w:t>თბილისი</w:t>
      </w:r>
      <w:r w:rsidR="00FB36CD" w:rsidRPr="002B0B65">
        <w:rPr>
          <w:rFonts w:cs="Sylfaen"/>
          <w:lang w:val="ka-GE"/>
        </w:rPr>
        <w:t>, ჭირნახულის ქ. #9</w:t>
      </w:r>
    </w:p>
    <w:p w14:paraId="0F6718C0" w14:textId="28F14AEF" w:rsidR="00FC79C3" w:rsidRDefault="00FC79C3" w:rsidP="00AA0BE9">
      <w:pPr>
        <w:pStyle w:val="ListParagraph"/>
        <w:numPr>
          <w:ilvl w:val="0"/>
          <w:numId w:val="15"/>
        </w:numPr>
        <w:spacing w:after="200" w:line="276" w:lineRule="auto"/>
        <w:rPr>
          <w:rFonts w:cs="Sylfaen"/>
          <w:lang w:val="ka-GE"/>
        </w:rPr>
      </w:pPr>
      <w:r w:rsidRPr="00FC79C3">
        <w:rPr>
          <w:rFonts w:cs="Sylfaen"/>
          <w:lang w:val="ka-GE"/>
        </w:rPr>
        <w:t>გთხოვთ, მიუთითოთ</w:t>
      </w:r>
      <w:r>
        <w:rPr>
          <w:rFonts w:cs="Sylfaen"/>
          <w:b/>
          <w:lang w:val="ka-GE"/>
        </w:rPr>
        <w:t xml:space="preserve"> მოწოდების ვადა.</w:t>
      </w:r>
    </w:p>
    <w:p w14:paraId="22C05B65" w14:textId="19445DD1" w:rsidR="00B8474F" w:rsidRPr="00D77D7C" w:rsidRDefault="00B8474F" w:rsidP="00AA0BE9">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w:t>
      </w:r>
      <w:r w:rsidR="008A0155">
        <w:rPr>
          <w:rFonts w:cs="Sylfaen"/>
          <w:lang w:val="ka-GE"/>
        </w:rPr>
        <w:t>2</w:t>
      </w:r>
      <w:r>
        <w:rPr>
          <w:rFonts w:cs="Sylfaen"/>
          <w:lang w:val="ka-GE"/>
        </w:rPr>
        <w:t xml:space="preserve"> </w:t>
      </w:r>
      <w:r w:rsidRPr="001021C6">
        <w:rPr>
          <w:rFonts w:cs="Sylfaen"/>
          <w:lang w:val="ka-GE"/>
        </w:rPr>
        <w:t>სარეკომენდაციო წერილი</w:t>
      </w:r>
      <w:r>
        <w:rPr>
          <w:rFonts w:cs="Sylfaen"/>
          <w:lang w:val="ka-GE"/>
        </w:rPr>
        <w:t>.</w:t>
      </w:r>
    </w:p>
    <w:p w14:paraId="5CCEB8EA" w14:textId="7E195479" w:rsidR="00BF7F13" w:rsidRPr="00100A48" w:rsidRDefault="00B8474F" w:rsidP="00AA0BE9">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8" w:name="_Toc22227847"/>
      <w:r w:rsidRPr="00D140FB">
        <w:rPr>
          <w:rFonts w:eastAsiaTheme="majorEastAsia" w:cstheme="majorBidi"/>
          <w:b/>
          <w:color w:val="FF671B"/>
          <w:sz w:val="24"/>
          <w:szCs w:val="28"/>
          <w:lang w:val="ka-GE" w:eastAsia="ja-JP"/>
        </w:rPr>
        <w:lastRenderedPageBreak/>
        <w:t>დამატებითი ინფორმაცია:</w:t>
      </w:r>
      <w:bookmarkEnd w:id="8"/>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Default="00B8474F" w:rsidP="00B8474F">
      <w:pPr>
        <w:ind w:left="945"/>
        <w:contextualSpacing/>
        <w:rPr>
          <w:lang w:val="ka-GE"/>
        </w:rPr>
      </w:pPr>
    </w:p>
    <w:p w14:paraId="7117D8DA" w14:textId="77777777" w:rsidR="0043167D" w:rsidRPr="00C525A4" w:rsidRDefault="0043167D" w:rsidP="00B8474F">
      <w:pPr>
        <w:ind w:left="945"/>
        <w:contextualSpacing/>
        <w:rPr>
          <w:lang w:val="ka-GE"/>
        </w:rPr>
      </w:pPr>
    </w:p>
    <w:bookmarkEnd w:id="5"/>
    <w:p w14:paraId="524331E3" w14:textId="77777777" w:rsidR="0043167D" w:rsidRPr="0043167D" w:rsidRDefault="0043167D" w:rsidP="0043167D">
      <w:pPr>
        <w:jc w:val="left"/>
        <w:rPr>
          <w:rFonts w:eastAsiaTheme="majorEastAsia" w:cstheme="majorBidi"/>
          <w:b/>
          <w:color w:val="FF671B"/>
          <w:sz w:val="24"/>
          <w:szCs w:val="28"/>
          <w:lang w:val="ka-GE" w:eastAsia="ja-JP"/>
        </w:rPr>
      </w:pPr>
      <w:r w:rsidRPr="0043167D">
        <w:rPr>
          <w:rFonts w:eastAsiaTheme="majorEastAsia" w:cstheme="majorBidi"/>
          <w:b/>
          <w:color w:val="FF671B"/>
          <w:sz w:val="24"/>
          <w:szCs w:val="28"/>
          <w:lang w:val="ka-GE" w:eastAsia="ja-JP"/>
        </w:rPr>
        <w:t>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w:t>
      </w:r>
    </w:p>
    <w:p w14:paraId="76DDB6C4" w14:textId="77777777" w:rsidR="0043167D" w:rsidRPr="0043167D" w:rsidRDefault="0043167D" w:rsidP="0043167D">
      <w:pPr>
        <w:jc w:val="left"/>
        <w:rPr>
          <w:rFonts w:eastAsiaTheme="minorEastAsia"/>
          <w:lang w:eastAsia="ja-JP"/>
        </w:rPr>
      </w:pPr>
    </w:p>
    <w:p w14:paraId="283F5305" w14:textId="77777777" w:rsidR="0043167D" w:rsidRPr="0043167D" w:rsidRDefault="0043167D" w:rsidP="0043167D">
      <w:pPr>
        <w:pStyle w:val="ListParagraph"/>
        <w:numPr>
          <w:ilvl w:val="0"/>
          <w:numId w:val="23"/>
        </w:numPr>
        <w:jc w:val="left"/>
        <w:rPr>
          <w:rFonts w:eastAsiaTheme="minorEastAsia"/>
          <w:lang w:eastAsia="ja-JP"/>
        </w:rPr>
      </w:pPr>
      <w:proofErr w:type="spellStart"/>
      <w:r w:rsidRPr="0043167D">
        <w:rPr>
          <w:rFonts w:eastAsiaTheme="minorEastAsia"/>
          <w:lang w:eastAsia="ja-JP"/>
        </w:rPr>
        <w:t>ამონაწერი</w:t>
      </w:r>
      <w:proofErr w:type="spellEnd"/>
      <w:r w:rsidRPr="0043167D">
        <w:rPr>
          <w:rFonts w:eastAsiaTheme="minorEastAsia"/>
          <w:lang w:eastAsia="ja-JP"/>
        </w:rPr>
        <w:t xml:space="preserve"> </w:t>
      </w:r>
      <w:proofErr w:type="spellStart"/>
      <w:r w:rsidRPr="0043167D">
        <w:rPr>
          <w:rFonts w:eastAsiaTheme="minorEastAsia"/>
          <w:lang w:eastAsia="ja-JP"/>
        </w:rPr>
        <w:t>სამეწარმეო</w:t>
      </w:r>
      <w:proofErr w:type="spellEnd"/>
      <w:r w:rsidRPr="0043167D">
        <w:rPr>
          <w:rFonts w:eastAsiaTheme="minorEastAsia"/>
          <w:lang w:eastAsia="ja-JP"/>
        </w:rPr>
        <w:t xml:space="preserve"> </w:t>
      </w:r>
      <w:proofErr w:type="spellStart"/>
      <w:r w:rsidRPr="0043167D">
        <w:rPr>
          <w:rFonts w:eastAsiaTheme="minorEastAsia"/>
          <w:lang w:eastAsia="ja-JP"/>
        </w:rPr>
        <w:t>რეესტრიდან</w:t>
      </w:r>
      <w:proofErr w:type="spellEnd"/>
      <w:r w:rsidRPr="0043167D">
        <w:rPr>
          <w:rFonts w:eastAsiaTheme="minorEastAsia"/>
          <w:lang w:eastAsia="ja-JP"/>
        </w:rPr>
        <w:t>;</w:t>
      </w:r>
    </w:p>
    <w:p w14:paraId="1610EEFD" w14:textId="502A9BF5" w:rsidR="0043167D" w:rsidRDefault="0043167D" w:rsidP="0043167D">
      <w:pPr>
        <w:pStyle w:val="ListParagraph"/>
        <w:numPr>
          <w:ilvl w:val="0"/>
          <w:numId w:val="23"/>
        </w:numPr>
        <w:jc w:val="left"/>
        <w:rPr>
          <w:rFonts w:eastAsiaTheme="minorEastAsia"/>
          <w:lang w:eastAsia="ja-JP"/>
        </w:rPr>
      </w:pPr>
      <w:proofErr w:type="spellStart"/>
      <w:r w:rsidRPr="0043167D">
        <w:rPr>
          <w:rFonts w:eastAsiaTheme="minorEastAsia"/>
          <w:lang w:eastAsia="ja-JP"/>
        </w:rPr>
        <w:t>წინამდებარე</w:t>
      </w:r>
      <w:proofErr w:type="spellEnd"/>
      <w:r w:rsidRPr="0043167D">
        <w:rPr>
          <w:rFonts w:eastAsiaTheme="minorEastAsia"/>
          <w:lang w:eastAsia="ja-JP"/>
        </w:rPr>
        <w:t xml:space="preserve"> </w:t>
      </w:r>
      <w:proofErr w:type="spellStart"/>
      <w:r w:rsidRPr="0043167D">
        <w:rPr>
          <w:rFonts w:eastAsiaTheme="minorEastAsia"/>
          <w:lang w:eastAsia="ja-JP"/>
        </w:rPr>
        <w:t>დოკუმენტი</w:t>
      </w:r>
      <w:proofErr w:type="spellEnd"/>
      <w:r w:rsidRPr="0043167D">
        <w:rPr>
          <w:rFonts w:eastAsiaTheme="minorEastAsia"/>
          <w:lang w:eastAsia="ja-JP"/>
        </w:rPr>
        <w:t xml:space="preserve"> </w:t>
      </w:r>
      <w:proofErr w:type="spellStart"/>
      <w:r w:rsidRPr="0043167D">
        <w:rPr>
          <w:rFonts w:eastAsiaTheme="minorEastAsia"/>
          <w:lang w:eastAsia="ja-JP"/>
        </w:rPr>
        <w:t>შევსებული</w:t>
      </w:r>
      <w:proofErr w:type="spellEnd"/>
      <w:r w:rsidRPr="0043167D">
        <w:rPr>
          <w:rFonts w:eastAsiaTheme="minorEastAsia"/>
          <w:lang w:eastAsia="ja-JP"/>
        </w:rPr>
        <w:t xml:space="preserve"> </w:t>
      </w:r>
      <w:r w:rsidR="009220AE">
        <w:rPr>
          <w:rFonts w:eastAsiaTheme="minorEastAsia"/>
          <w:lang w:val="ka-GE" w:eastAsia="ja-JP"/>
        </w:rPr>
        <w:t>ფორმით</w:t>
      </w:r>
      <w:r>
        <w:rPr>
          <w:rFonts w:eastAsiaTheme="minorEastAsia"/>
          <w:lang w:eastAsia="ja-JP"/>
        </w:rPr>
        <w:t xml:space="preserve"> (</w:t>
      </w:r>
      <w:proofErr w:type="spellStart"/>
      <w:r>
        <w:rPr>
          <w:rFonts w:eastAsiaTheme="minorEastAsia"/>
          <w:lang w:eastAsia="ja-JP"/>
        </w:rPr>
        <w:t>დანართი</w:t>
      </w:r>
      <w:proofErr w:type="spellEnd"/>
      <w:r>
        <w:rPr>
          <w:rFonts w:eastAsiaTheme="minorEastAsia"/>
          <w:lang w:eastAsia="ja-JP"/>
        </w:rPr>
        <w:t xml:space="preserve"> N1 </w:t>
      </w:r>
      <w:proofErr w:type="spellStart"/>
      <w:r>
        <w:rPr>
          <w:rFonts w:eastAsiaTheme="minorEastAsia"/>
          <w:lang w:eastAsia="ja-JP"/>
        </w:rPr>
        <w:t>და</w:t>
      </w:r>
      <w:proofErr w:type="spellEnd"/>
      <w:r>
        <w:rPr>
          <w:rFonts w:eastAsiaTheme="minorEastAsia"/>
          <w:lang w:eastAsia="ja-JP"/>
        </w:rPr>
        <w:t xml:space="preserve"> </w:t>
      </w:r>
      <w:proofErr w:type="spellStart"/>
      <w:r>
        <w:rPr>
          <w:rFonts w:eastAsiaTheme="minorEastAsia"/>
          <w:lang w:eastAsia="ja-JP"/>
        </w:rPr>
        <w:t>დანართი</w:t>
      </w:r>
      <w:proofErr w:type="spellEnd"/>
      <w:r>
        <w:rPr>
          <w:rFonts w:eastAsiaTheme="minorEastAsia"/>
          <w:lang w:eastAsia="ja-JP"/>
        </w:rPr>
        <w:t xml:space="preserve"> N2)</w:t>
      </w:r>
      <w:r w:rsidRPr="0043167D">
        <w:rPr>
          <w:rFonts w:eastAsiaTheme="minorEastAsia"/>
          <w:lang w:eastAsia="ja-JP"/>
        </w:rPr>
        <w:t xml:space="preserve">, </w:t>
      </w:r>
      <w:r>
        <w:rPr>
          <w:rFonts w:eastAsiaTheme="minorEastAsia"/>
          <w:lang w:val="ka-GE" w:eastAsia="ja-JP"/>
        </w:rPr>
        <w:t xml:space="preserve">ყველა გვერდზე </w:t>
      </w:r>
      <w:proofErr w:type="spellStart"/>
      <w:r w:rsidRPr="0043167D">
        <w:rPr>
          <w:rFonts w:eastAsiaTheme="minorEastAsia"/>
          <w:lang w:eastAsia="ja-JP"/>
        </w:rPr>
        <w:t>ხელმოწერილი</w:t>
      </w:r>
      <w:proofErr w:type="spellEnd"/>
      <w:r w:rsidRPr="0043167D">
        <w:rPr>
          <w:rFonts w:eastAsiaTheme="minorEastAsia"/>
          <w:lang w:eastAsia="ja-JP"/>
        </w:rPr>
        <w:t xml:space="preserve"> </w:t>
      </w:r>
      <w:proofErr w:type="spellStart"/>
      <w:r w:rsidRPr="0043167D">
        <w:rPr>
          <w:rFonts w:eastAsiaTheme="minorEastAsia"/>
          <w:lang w:eastAsia="ja-JP"/>
        </w:rPr>
        <w:t>უფლებამოსილი</w:t>
      </w:r>
      <w:proofErr w:type="spellEnd"/>
      <w:r w:rsidRPr="0043167D">
        <w:rPr>
          <w:rFonts w:eastAsiaTheme="minorEastAsia"/>
          <w:lang w:eastAsia="ja-JP"/>
        </w:rPr>
        <w:t xml:space="preserve"> </w:t>
      </w:r>
      <w:proofErr w:type="spellStart"/>
      <w:r w:rsidRPr="0043167D">
        <w:rPr>
          <w:rFonts w:eastAsiaTheme="minorEastAsia"/>
          <w:lang w:eastAsia="ja-JP"/>
        </w:rPr>
        <w:t>პირის</w:t>
      </w:r>
      <w:proofErr w:type="spellEnd"/>
      <w:r w:rsidRPr="0043167D">
        <w:rPr>
          <w:rFonts w:eastAsiaTheme="minorEastAsia"/>
          <w:lang w:eastAsia="ja-JP"/>
        </w:rPr>
        <w:t xml:space="preserve"> </w:t>
      </w:r>
      <w:proofErr w:type="spellStart"/>
      <w:r w:rsidRPr="0043167D">
        <w:rPr>
          <w:rFonts w:eastAsiaTheme="minorEastAsia"/>
          <w:lang w:eastAsia="ja-JP"/>
        </w:rPr>
        <w:t>მიერ</w:t>
      </w:r>
      <w:proofErr w:type="spellEnd"/>
      <w:r w:rsidRPr="0043167D">
        <w:rPr>
          <w:rFonts w:eastAsiaTheme="minorEastAsia"/>
          <w:lang w:eastAsia="ja-JP"/>
        </w:rPr>
        <w:t>;</w:t>
      </w:r>
    </w:p>
    <w:p w14:paraId="5E49AE51" w14:textId="5DCEB2D3" w:rsidR="0043167D" w:rsidRPr="0043167D" w:rsidRDefault="0043167D" w:rsidP="0043167D">
      <w:pPr>
        <w:pStyle w:val="ListParagraph"/>
        <w:numPr>
          <w:ilvl w:val="0"/>
          <w:numId w:val="23"/>
        </w:numPr>
        <w:jc w:val="left"/>
        <w:rPr>
          <w:rFonts w:eastAsiaTheme="minorEastAsia"/>
          <w:lang w:eastAsia="ja-JP"/>
        </w:rPr>
      </w:pPr>
      <w:r>
        <w:rPr>
          <w:rFonts w:eastAsiaTheme="minorEastAsia"/>
          <w:lang w:val="ka-GE" w:eastAsia="ja-JP"/>
        </w:rPr>
        <w:t>შემოთავაზებული საქონლის დეტალური აღწერილობა და სპეციფიკაციები (ბროშურის ან</w:t>
      </w:r>
      <w:r w:rsidR="00643B5F">
        <w:rPr>
          <w:rFonts w:eastAsiaTheme="minorEastAsia"/>
          <w:lang w:val="ka-GE" w:eastAsia="ja-JP"/>
        </w:rPr>
        <w:t>/და</w:t>
      </w:r>
      <w:r>
        <w:rPr>
          <w:rFonts w:eastAsiaTheme="minorEastAsia"/>
          <w:lang w:val="ka-GE" w:eastAsia="ja-JP"/>
        </w:rPr>
        <w:t xml:space="preserve"> სხვა ფორმით)</w:t>
      </w:r>
    </w:p>
    <w:p w14:paraId="7303C785" w14:textId="3B13873C" w:rsidR="0043167D" w:rsidRPr="0043167D" w:rsidRDefault="0043167D" w:rsidP="0043167D">
      <w:pPr>
        <w:pStyle w:val="ListParagraph"/>
        <w:numPr>
          <w:ilvl w:val="0"/>
          <w:numId w:val="23"/>
        </w:numPr>
        <w:jc w:val="left"/>
        <w:rPr>
          <w:rFonts w:eastAsiaTheme="minorEastAsia"/>
          <w:lang w:eastAsia="ja-JP"/>
        </w:rPr>
      </w:pPr>
      <w:proofErr w:type="spellStart"/>
      <w:r>
        <w:rPr>
          <w:rFonts w:eastAsiaTheme="minorEastAsia"/>
          <w:lang w:eastAsia="ja-JP"/>
        </w:rPr>
        <w:t>სარეკომენდაციო</w:t>
      </w:r>
      <w:proofErr w:type="spellEnd"/>
      <w:r>
        <w:rPr>
          <w:rFonts w:eastAsiaTheme="minorEastAsia"/>
          <w:lang w:eastAsia="ja-JP"/>
        </w:rPr>
        <w:t xml:space="preserve"> </w:t>
      </w:r>
      <w:proofErr w:type="spellStart"/>
      <w:r>
        <w:rPr>
          <w:rFonts w:eastAsiaTheme="minorEastAsia"/>
          <w:lang w:eastAsia="ja-JP"/>
        </w:rPr>
        <w:t>წერილები</w:t>
      </w:r>
      <w:proofErr w:type="spellEnd"/>
      <w:r>
        <w:rPr>
          <w:rFonts w:eastAsiaTheme="minorEastAsia"/>
          <w:lang w:eastAsia="ja-JP"/>
        </w:rPr>
        <w:t>;</w:t>
      </w:r>
    </w:p>
    <w:p w14:paraId="37CF211B" w14:textId="77777777" w:rsidR="0043167D" w:rsidRDefault="0043167D" w:rsidP="0043167D">
      <w:pPr>
        <w:jc w:val="left"/>
        <w:rPr>
          <w:rFonts w:eastAsiaTheme="minorEastAsia"/>
          <w:lang w:eastAsia="ja-JP"/>
        </w:rPr>
      </w:pPr>
    </w:p>
    <w:p w14:paraId="2035D1DE" w14:textId="77777777" w:rsidR="0043167D" w:rsidRDefault="0043167D" w:rsidP="0043167D">
      <w:pPr>
        <w:jc w:val="left"/>
        <w:rPr>
          <w:rFonts w:eastAsiaTheme="minorEastAsia"/>
          <w:lang w:eastAsia="ja-JP"/>
        </w:rPr>
      </w:pPr>
    </w:p>
    <w:p w14:paraId="4BC0E8F2" w14:textId="77777777" w:rsidR="0043167D" w:rsidRDefault="0043167D" w:rsidP="0043167D">
      <w:pPr>
        <w:jc w:val="left"/>
        <w:rPr>
          <w:rFonts w:eastAsiaTheme="minorEastAsia"/>
          <w:lang w:eastAsia="ja-JP"/>
        </w:rPr>
      </w:pPr>
    </w:p>
    <w:p w14:paraId="42B567B4" w14:textId="77777777" w:rsidR="0043167D" w:rsidRDefault="0043167D" w:rsidP="0043167D">
      <w:pPr>
        <w:jc w:val="left"/>
        <w:rPr>
          <w:rFonts w:eastAsiaTheme="minorEastAsia"/>
          <w:lang w:eastAsia="ja-JP"/>
        </w:rPr>
      </w:pPr>
    </w:p>
    <w:p w14:paraId="44582B6C" w14:textId="77777777" w:rsidR="0043167D" w:rsidRDefault="0043167D" w:rsidP="0043167D">
      <w:pPr>
        <w:jc w:val="left"/>
        <w:rPr>
          <w:rFonts w:eastAsiaTheme="minorEastAsia"/>
          <w:lang w:eastAsia="ja-JP"/>
        </w:rPr>
      </w:pPr>
    </w:p>
    <w:p w14:paraId="0586AF92" w14:textId="77777777" w:rsidR="0043167D" w:rsidRDefault="0043167D" w:rsidP="0043167D">
      <w:pPr>
        <w:jc w:val="left"/>
        <w:rPr>
          <w:rFonts w:eastAsiaTheme="minorEastAsia"/>
          <w:lang w:eastAsia="ja-JP"/>
        </w:rPr>
      </w:pPr>
    </w:p>
    <w:p w14:paraId="1B0A25A5" w14:textId="77777777" w:rsidR="0043167D" w:rsidRDefault="0043167D" w:rsidP="0043167D">
      <w:pPr>
        <w:jc w:val="left"/>
        <w:rPr>
          <w:rFonts w:eastAsiaTheme="minorEastAsia"/>
          <w:lang w:eastAsia="ja-JP"/>
        </w:rPr>
      </w:pPr>
    </w:p>
    <w:p w14:paraId="6F52E7DB" w14:textId="77777777" w:rsidR="0043167D" w:rsidRDefault="0043167D" w:rsidP="0043167D">
      <w:pPr>
        <w:jc w:val="left"/>
        <w:rPr>
          <w:rFonts w:eastAsiaTheme="minorEastAsia"/>
          <w:lang w:eastAsia="ja-JP"/>
        </w:rPr>
      </w:pPr>
    </w:p>
    <w:p w14:paraId="5A95B03F" w14:textId="77777777" w:rsidR="0043167D" w:rsidRDefault="0043167D" w:rsidP="0043167D">
      <w:pPr>
        <w:jc w:val="left"/>
        <w:rPr>
          <w:rFonts w:eastAsiaTheme="minorEastAsia"/>
          <w:lang w:eastAsia="ja-JP"/>
        </w:rPr>
      </w:pPr>
    </w:p>
    <w:p w14:paraId="3B974C1C" w14:textId="77777777" w:rsidR="0043167D" w:rsidRDefault="0043167D" w:rsidP="0043167D">
      <w:pPr>
        <w:jc w:val="left"/>
        <w:rPr>
          <w:rFonts w:eastAsiaTheme="minorEastAsia"/>
          <w:lang w:eastAsia="ja-JP"/>
        </w:rPr>
      </w:pPr>
    </w:p>
    <w:p w14:paraId="364FA53D" w14:textId="77777777" w:rsidR="0043167D" w:rsidRDefault="0043167D" w:rsidP="0043167D">
      <w:pPr>
        <w:jc w:val="left"/>
        <w:rPr>
          <w:rFonts w:eastAsiaTheme="minorEastAsia"/>
          <w:lang w:eastAsia="ja-JP"/>
        </w:rPr>
      </w:pPr>
    </w:p>
    <w:p w14:paraId="2882F18C" w14:textId="77777777" w:rsidR="0043167D" w:rsidRDefault="0043167D" w:rsidP="0043167D">
      <w:pPr>
        <w:jc w:val="left"/>
        <w:rPr>
          <w:rFonts w:eastAsiaTheme="minorEastAsia"/>
          <w:lang w:eastAsia="ja-JP"/>
        </w:rPr>
      </w:pPr>
    </w:p>
    <w:p w14:paraId="42796046" w14:textId="77777777" w:rsidR="0043167D" w:rsidRDefault="0043167D" w:rsidP="0043167D">
      <w:pPr>
        <w:jc w:val="left"/>
        <w:rPr>
          <w:rFonts w:eastAsiaTheme="minorEastAsia"/>
          <w:lang w:eastAsia="ja-JP"/>
        </w:rPr>
      </w:pPr>
    </w:p>
    <w:p w14:paraId="456F4428" w14:textId="77777777" w:rsidR="0043167D" w:rsidRDefault="0043167D" w:rsidP="0043167D">
      <w:pPr>
        <w:jc w:val="left"/>
        <w:rPr>
          <w:rFonts w:eastAsiaTheme="minorEastAsia"/>
          <w:lang w:eastAsia="ja-JP"/>
        </w:rPr>
      </w:pPr>
    </w:p>
    <w:p w14:paraId="58968D7E" w14:textId="77777777" w:rsidR="0043167D" w:rsidRDefault="0043167D" w:rsidP="0043167D">
      <w:pPr>
        <w:jc w:val="left"/>
        <w:rPr>
          <w:rFonts w:eastAsiaTheme="minorEastAsia"/>
          <w:lang w:eastAsia="ja-JP"/>
        </w:rPr>
      </w:pPr>
    </w:p>
    <w:p w14:paraId="22BF083F" w14:textId="77777777" w:rsidR="0043167D" w:rsidRDefault="0043167D" w:rsidP="0043167D">
      <w:pPr>
        <w:jc w:val="left"/>
        <w:rPr>
          <w:rFonts w:eastAsiaTheme="minorEastAsia"/>
          <w:lang w:eastAsia="ja-JP"/>
        </w:rPr>
      </w:pPr>
    </w:p>
    <w:p w14:paraId="15AC1AD4" w14:textId="77777777" w:rsidR="0043167D" w:rsidRDefault="0043167D" w:rsidP="0043167D">
      <w:pPr>
        <w:jc w:val="left"/>
        <w:rPr>
          <w:rFonts w:eastAsiaTheme="minorEastAsia"/>
          <w:lang w:eastAsia="ja-JP"/>
        </w:rPr>
      </w:pPr>
    </w:p>
    <w:p w14:paraId="068DE480" w14:textId="77777777" w:rsidR="0043167D" w:rsidRDefault="0043167D" w:rsidP="0043167D">
      <w:pPr>
        <w:jc w:val="left"/>
        <w:rPr>
          <w:rFonts w:eastAsiaTheme="minorEastAsia"/>
          <w:lang w:eastAsia="ja-JP"/>
        </w:rPr>
      </w:pPr>
    </w:p>
    <w:p w14:paraId="5DAF3C31" w14:textId="148F7FDE" w:rsidR="00643B5F" w:rsidRDefault="00643B5F" w:rsidP="00455101">
      <w:pPr>
        <w:pStyle w:val="a"/>
        <w:numPr>
          <w:ilvl w:val="0"/>
          <w:numId w:val="0"/>
        </w:numPr>
        <w:rPr>
          <w:rFonts w:eastAsiaTheme="minorHAnsi" w:cs="Sylfaen"/>
          <w:color w:val="231F20"/>
          <w:sz w:val="22"/>
          <w:szCs w:val="20"/>
          <w:lang w:eastAsia="en-US"/>
        </w:rPr>
      </w:pPr>
      <w:bookmarkStart w:id="9" w:name="_Toc22227848"/>
    </w:p>
    <w:p w14:paraId="1576CCA8" w14:textId="1409E1C8" w:rsidR="00BE670B" w:rsidRDefault="00E3757A" w:rsidP="00BD4E7F">
      <w:pPr>
        <w:pStyle w:val="a"/>
        <w:numPr>
          <w:ilvl w:val="0"/>
          <w:numId w:val="0"/>
        </w:numPr>
        <w:ind w:left="360" w:hanging="360"/>
        <w:rPr>
          <w:rFonts w:eastAsiaTheme="minorHAnsi" w:cs="Sylfaen"/>
          <w:color w:val="231F20"/>
          <w:sz w:val="22"/>
          <w:szCs w:val="20"/>
          <w:lang w:val="en-US" w:eastAsia="en-US"/>
        </w:rPr>
      </w:pPr>
      <w:r w:rsidRPr="00C525A4">
        <w:rPr>
          <w:rFonts w:eastAsiaTheme="minorHAnsi" w:cs="Sylfaen"/>
          <w:color w:val="231F20"/>
          <w:sz w:val="22"/>
          <w:szCs w:val="20"/>
          <w:lang w:eastAsia="en-US"/>
        </w:rPr>
        <w:t>დანართი1: ფასების ცხრილი</w:t>
      </w:r>
      <w:bookmarkEnd w:id="9"/>
    </w:p>
    <w:p w14:paraId="798143FC" w14:textId="77777777" w:rsidR="00C50B02" w:rsidRPr="00C50B02" w:rsidRDefault="00C50B02" w:rsidP="00C50B02">
      <w:pPr>
        <w:pStyle w:val="a0"/>
        <w:numPr>
          <w:ilvl w:val="0"/>
          <w:numId w:val="0"/>
        </w:numPr>
        <w:ind w:left="360"/>
        <w:rPr>
          <w:lang w:eastAsia="en-US"/>
        </w:rPr>
      </w:pPr>
    </w:p>
    <w:tbl>
      <w:tblPr>
        <w:tblStyle w:val="TableGrid1"/>
        <w:tblW w:w="10188" w:type="dxa"/>
        <w:tblInd w:w="108" w:type="dxa"/>
        <w:tblLook w:val="04A0" w:firstRow="1" w:lastRow="0" w:firstColumn="1" w:lastColumn="0" w:noHBand="0" w:noVBand="1"/>
      </w:tblPr>
      <w:tblGrid>
        <w:gridCol w:w="1597"/>
        <w:gridCol w:w="2430"/>
        <w:gridCol w:w="1283"/>
        <w:gridCol w:w="1080"/>
        <w:gridCol w:w="1238"/>
        <w:gridCol w:w="1246"/>
        <w:gridCol w:w="1314"/>
      </w:tblGrid>
      <w:tr w:rsidR="00FB36CD" w:rsidRPr="00BE670B" w14:paraId="5C33D3C6" w14:textId="4FA16BE0" w:rsidTr="00116AD6">
        <w:trPr>
          <w:trHeight w:val="56"/>
        </w:trPr>
        <w:tc>
          <w:tcPr>
            <w:tcW w:w="1597" w:type="dxa"/>
            <w:vAlign w:val="center"/>
          </w:tcPr>
          <w:p w14:paraId="4A0B086E" w14:textId="271B662C" w:rsidR="00FB36CD" w:rsidRPr="003E2F95" w:rsidRDefault="00FB36CD" w:rsidP="003E2F95">
            <w:pPr>
              <w:rPr>
                <w:rFonts w:ascii="Sylfaen" w:hAnsi="Sylfaen" w:cs="Sylfaen"/>
                <w:sz w:val="20"/>
                <w:szCs w:val="20"/>
                <w:lang w:val="ka-GE"/>
              </w:rPr>
            </w:pPr>
            <w:r>
              <w:rPr>
                <w:rFonts w:ascii="Sylfaen" w:hAnsi="Sylfaen" w:cs="Sylfaen"/>
                <w:sz w:val="20"/>
                <w:szCs w:val="20"/>
                <w:lang w:val="ka-GE"/>
              </w:rPr>
              <w:t>დასახელება</w:t>
            </w:r>
          </w:p>
        </w:tc>
        <w:tc>
          <w:tcPr>
            <w:tcW w:w="2430" w:type="dxa"/>
            <w:vAlign w:val="center"/>
          </w:tcPr>
          <w:p w14:paraId="49E4D08D" w14:textId="5A75FFF4" w:rsidR="00FB36CD" w:rsidRPr="00FB36CD" w:rsidRDefault="00455101" w:rsidP="00FB36CD">
            <w:pPr>
              <w:jc w:val="center"/>
              <w:rPr>
                <w:rFonts w:ascii="Sylfaen" w:hAnsi="Sylfaen" w:cs="Sylfaen"/>
                <w:sz w:val="20"/>
                <w:szCs w:val="20"/>
                <w:lang w:val="ka-GE"/>
              </w:rPr>
            </w:pPr>
            <w:r>
              <w:rPr>
                <w:rFonts w:ascii="Sylfaen" w:hAnsi="Sylfaen" w:cs="Sylfaen"/>
                <w:sz w:val="20"/>
                <w:szCs w:val="20"/>
                <w:lang w:val="ka-GE"/>
              </w:rPr>
              <w:t>ტიპი</w:t>
            </w:r>
          </w:p>
        </w:tc>
        <w:tc>
          <w:tcPr>
            <w:tcW w:w="1283" w:type="dxa"/>
            <w:vAlign w:val="center"/>
          </w:tcPr>
          <w:p w14:paraId="5BFEC223" w14:textId="19A429D0" w:rsidR="00FB36CD" w:rsidRPr="00BE670B" w:rsidRDefault="00FB36CD" w:rsidP="00047A1A">
            <w:pPr>
              <w:jc w:val="center"/>
              <w:rPr>
                <w:rFonts w:ascii="Sylfaen" w:hAnsi="Sylfaen" w:cs="Sylfaen"/>
                <w:sz w:val="20"/>
                <w:szCs w:val="20"/>
                <w:lang w:val="ka-GE"/>
              </w:rPr>
            </w:pPr>
            <w:r>
              <w:rPr>
                <w:rFonts w:ascii="Sylfaen" w:hAnsi="Sylfaen" w:cs="Sylfaen"/>
                <w:sz w:val="20"/>
                <w:szCs w:val="20"/>
                <w:lang w:val="ka-GE"/>
              </w:rPr>
              <w:t>შესასყიდი რაოდენობა</w:t>
            </w:r>
          </w:p>
        </w:tc>
        <w:tc>
          <w:tcPr>
            <w:tcW w:w="1080" w:type="dxa"/>
            <w:vAlign w:val="center"/>
          </w:tcPr>
          <w:p w14:paraId="576A95B3" w14:textId="42C45F94" w:rsidR="00FB36CD" w:rsidRPr="00BE670B" w:rsidRDefault="00FB36CD" w:rsidP="00047A1A">
            <w:pPr>
              <w:jc w:val="center"/>
              <w:rPr>
                <w:rFonts w:ascii="Sylfaen" w:hAnsi="Sylfaen" w:cs="Sylfaen"/>
                <w:sz w:val="20"/>
                <w:szCs w:val="20"/>
                <w:lang w:val="ka-GE"/>
              </w:rPr>
            </w:pPr>
            <w:r>
              <w:rPr>
                <w:rFonts w:ascii="Sylfaen" w:hAnsi="Sylfaen" w:cs="Sylfaen"/>
                <w:sz w:val="20"/>
                <w:szCs w:val="20"/>
                <w:lang w:val="ka-GE"/>
              </w:rPr>
              <w:t>ერთ. ფასი (</w:t>
            </w:r>
            <w:r w:rsidRPr="00047A1A">
              <w:rPr>
                <w:rFonts w:ascii="Sylfaen" w:hAnsi="Sylfaen" w:cs="Sylfaen"/>
                <w:b/>
                <w:sz w:val="20"/>
                <w:szCs w:val="20"/>
              </w:rPr>
              <w:t>USD</w:t>
            </w:r>
            <w:r>
              <w:rPr>
                <w:rFonts w:ascii="Sylfaen" w:hAnsi="Sylfaen" w:cs="Sylfaen"/>
                <w:sz w:val="20"/>
                <w:szCs w:val="20"/>
              </w:rPr>
              <w:t>)</w:t>
            </w:r>
          </w:p>
        </w:tc>
        <w:tc>
          <w:tcPr>
            <w:tcW w:w="1238" w:type="dxa"/>
            <w:vAlign w:val="center"/>
          </w:tcPr>
          <w:p w14:paraId="4C8D107E" w14:textId="5E9483EB" w:rsidR="00FB36CD" w:rsidRPr="00FB36CD" w:rsidRDefault="00FB36CD" w:rsidP="00047A1A">
            <w:pPr>
              <w:jc w:val="center"/>
              <w:rPr>
                <w:rFonts w:ascii="Sylfaen" w:hAnsi="Sylfaen" w:cs="Sylfaen"/>
                <w:sz w:val="20"/>
                <w:szCs w:val="20"/>
                <w:lang w:val="ka-GE"/>
              </w:rPr>
            </w:pPr>
            <w:r>
              <w:rPr>
                <w:rFonts w:ascii="Sylfaen" w:hAnsi="Sylfaen" w:cs="Sylfaen"/>
                <w:sz w:val="20"/>
                <w:szCs w:val="20"/>
                <w:lang w:val="ka-GE"/>
              </w:rPr>
              <w:t>ჯამური ფასი</w:t>
            </w:r>
          </w:p>
          <w:p w14:paraId="2EFDDDD4" w14:textId="5ABEA2D7" w:rsidR="00FB36CD" w:rsidRPr="00E6278E" w:rsidRDefault="00FB36CD" w:rsidP="00047A1A">
            <w:pPr>
              <w:jc w:val="center"/>
              <w:rPr>
                <w:rFonts w:ascii="Sylfaen" w:hAnsi="Sylfaen" w:cs="Sylfaen"/>
                <w:sz w:val="20"/>
                <w:szCs w:val="20"/>
              </w:rPr>
            </w:pPr>
            <w:r>
              <w:rPr>
                <w:rFonts w:ascii="Sylfaen" w:hAnsi="Sylfaen" w:cs="Sylfaen"/>
                <w:sz w:val="20"/>
                <w:szCs w:val="20"/>
                <w:lang w:val="ka-GE"/>
              </w:rPr>
              <w:t>(</w:t>
            </w:r>
            <w:r w:rsidRPr="00047A1A">
              <w:rPr>
                <w:rFonts w:ascii="Sylfaen" w:hAnsi="Sylfaen" w:cs="Sylfaen"/>
                <w:b/>
                <w:sz w:val="20"/>
                <w:szCs w:val="20"/>
              </w:rPr>
              <w:t>USD</w:t>
            </w:r>
            <w:r>
              <w:rPr>
                <w:rFonts w:ascii="Sylfaen" w:hAnsi="Sylfaen" w:cs="Sylfaen"/>
                <w:sz w:val="20"/>
                <w:szCs w:val="20"/>
              </w:rPr>
              <w:t>)</w:t>
            </w:r>
          </w:p>
        </w:tc>
        <w:tc>
          <w:tcPr>
            <w:tcW w:w="1246" w:type="dxa"/>
            <w:shd w:val="clear" w:color="auto" w:fill="auto"/>
            <w:vAlign w:val="center"/>
          </w:tcPr>
          <w:p w14:paraId="703FA99D" w14:textId="14C68E2B" w:rsidR="00FB36CD" w:rsidRPr="00212840" w:rsidRDefault="00FB36CD" w:rsidP="008C3AEB">
            <w:pPr>
              <w:jc w:val="center"/>
              <w:rPr>
                <w:rFonts w:ascii="Sylfaen" w:hAnsi="Sylfaen"/>
                <w:lang w:val="ka-GE"/>
              </w:rPr>
            </w:pPr>
            <w:r w:rsidRPr="00212840">
              <w:rPr>
                <w:rFonts w:ascii="Sylfaen" w:hAnsi="Sylfaen" w:cs="Sylfaen"/>
                <w:sz w:val="20"/>
                <w:szCs w:val="20"/>
                <w:lang w:val="ka-GE"/>
              </w:rPr>
              <w:t>მიწოდ</w:t>
            </w:r>
            <w:r>
              <w:rPr>
                <w:rFonts w:ascii="Sylfaen" w:hAnsi="Sylfaen" w:cs="Sylfaen"/>
                <w:sz w:val="20"/>
                <w:szCs w:val="20"/>
                <w:lang w:val="ka-GE"/>
              </w:rPr>
              <w:t>ე</w:t>
            </w:r>
            <w:r w:rsidRPr="00212840">
              <w:rPr>
                <w:rFonts w:ascii="Sylfaen" w:hAnsi="Sylfaen" w:cs="Sylfaen"/>
                <w:sz w:val="20"/>
                <w:szCs w:val="20"/>
                <w:lang w:val="ka-GE"/>
              </w:rPr>
              <w:t>ბის ვადა</w:t>
            </w:r>
          </w:p>
        </w:tc>
        <w:tc>
          <w:tcPr>
            <w:tcW w:w="1314" w:type="dxa"/>
            <w:vAlign w:val="center"/>
          </w:tcPr>
          <w:p w14:paraId="7EB4602A" w14:textId="597DF1B6" w:rsidR="00FB36CD" w:rsidRPr="003E2F95" w:rsidRDefault="00FB36CD" w:rsidP="008C3AEB">
            <w:pPr>
              <w:jc w:val="center"/>
              <w:rPr>
                <w:rFonts w:ascii="Sylfaen" w:hAnsi="Sylfaen" w:cs="Sylfaen"/>
                <w:sz w:val="20"/>
                <w:szCs w:val="20"/>
                <w:lang w:val="ka-GE"/>
              </w:rPr>
            </w:pPr>
            <w:r w:rsidRPr="003E2F95">
              <w:rPr>
                <w:rFonts w:ascii="Sylfaen" w:hAnsi="Sylfaen" w:cs="Sylfaen"/>
                <w:sz w:val="20"/>
                <w:szCs w:val="20"/>
                <w:lang w:val="ka-GE"/>
              </w:rPr>
              <w:t>საგარანტიო პერიოდი</w:t>
            </w:r>
          </w:p>
        </w:tc>
      </w:tr>
      <w:tr w:rsidR="00FB36CD" w:rsidRPr="00BE670B" w14:paraId="7854733C" w14:textId="68DA2BC2" w:rsidTr="00116AD6">
        <w:trPr>
          <w:trHeight w:val="895"/>
        </w:trPr>
        <w:tc>
          <w:tcPr>
            <w:tcW w:w="1597" w:type="dxa"/>
            <w:vAlign w:val="center"/>
          </w:tcPr>
          <w:p w14:paraId="2112A7AB" w14:textId="2074B65F" w:rsidR="00FB36CD" w:rsidRPr="00FB36CD" w:rsidRDefault="00FB36CD" w:rsidP="00FB36CD">
            <w:pPr>
              <w:jc w:val="left"/>
              <w:rPr>
                <w:rFonts w:cs="Sylfaen"/>
              </w:rPr>
            </w:pPr>
            <w:r>
              <w:rPr>
                <w:rFonts w:cs="Sylfaen"/>
              </w:rPr>
              <w:t>ATM</w:t>
            </w:r>
          </w:p>
        </w:tc>
        <w:tc>
          <w:tcPr>
            <w:tcW w:w="2430" w:type="dxa"/>
            <w:vAlign w:val="center"/>
          </w:tcPr>
          <w:p w14:paraId="2492EE78" w14:textId="1A112389" w:rsidR="00FB36CD" w:rsidRPr="00FB36CD" w:rsidRDefault="00FB36CD" w:rsidP="00FB36CD">
            <w:pPr>
              <w:jc w:val="left"/>
              <w:rPr>
                <w:rFonts w:ascii="Calibri" w:hAnsi="Calibri" w:cs="Calibri"/>
                <w:color w:val="000000"/>
              </w:rPr>
            </w:pPr>
            <w:r>
              <w:rPr>
                <w:rFonts w:ascii="Calibri" w:hAnsi="Calibri" w:cs="Calibri"/>
                <w:color w:val="000000"/>
              </w:rPr>
              <w:t xml:space="preserve">Outdoor (Rear load) </w:t>
            </w:r>
            <w:proofErr w:type="spellStart"/>
            <w:r>
              <w:rPr>
                <w:rFonts w:ascii="Calibri" w:hAnsi="Calibri" w:cs="Calibri"/>
                <w:color w:val="000000"/>
              </w:rPr>
              <w:t>cashout</w:t>
            </w:r>
            <w:proofErr w:type="spellEnd"/>
            <w:r>
              <w:rPr>
                <w:rFonts w:ascii="Calibri" w:hAnsi="Calibri" w:cs="Calibri"/>
                <w:color w:val="000000"/>
              </w:rPr>
              <w:t>, with armored safe</w:t>
            </w:r>
          </w:p>
        </w:tc>
        <w:tc>
          <w:tcPr>
            <w:tcW w:w="1283" w:type="dxa"/>
            <w:vAlign w:val="center"/>
          </w:tcPr>
          <w:p w14:paraId="19F0E48A" w14:textId="30088FE0" w:rsidR="00FB36CD" w:rsidRPr="008134F9" w:rsidRDefault="00FB36CD" w:rsidP="002348C6">
            <w:pPr>
              <w:jc w:val="center"/>
              <w:rPr>
                <w:rFonts w:ascii="Sylfaen" w:hAnsi="Sylfaen" w:cs="Sylfaen"/>
                <w:sz w:val="20"/>
                <w:szCs w:val="20"/>
              </w:rPr>
            </w:pPr>
            <w:r>
              <w:rPr>
                <w:rFonts w:ascii="Sylfaen" w:hAnsi="Sylfaen" w:cs="Sylfaen"/>
                <w:sz w:val="20"/>
                <w:szCs w:val="20"/>
              </w:rPr>
              <w:t>150</w:t>
            </w:r>
          </w:p>
        </w:tc>
        <w:tc>
          <w:tcPr>
            <w:tcW w:w="1080" w:type="dxa"/>
            <w:vAlign w:val="center"/>
          </w:tcPr>
          <w:p w14:paraId="497C3E9A" w14:textId="2415369B" w:rsidR="00FB36CD" w:rsidRPr="00BE670B" w:rsidRDefault="00FB36CD" w:rsidP="00BE670B">
            <w:pPr>
              <w:jc w:val="center"/>
              <w:rPr>
                <w:rFonts w:ascii="Sylfaen" w:hAnsi="Sylfaen" w:cs="Sylfaen"/>
                <w:sz w:val="20"/>
                <w:szCs w:val="20"/>
                <w:lang w:val="ka-GE"/>
              </w:rPr>
            </w:pPr>
          </w:p>
        </w:tc>
        <w:tc>
          <w:tcPr>
            <w:tcW w:w="1238" w:type="dxa"/>
          </w:tcPr>
          <w:p w14:paraId="3E7A63D3" w14:textId="77777777" w:rsidR="00FB36CD" w:rsidRPr="00BE670B" w:rsidRDefault="00FB36CD" w:rsidP="00BE670B">
            <w:pPr>
              <w:jc w:val="left"/>
              <w:rPr>
                <w:rFonts w:ascii="Sylfaen" w:hAnsi="Sylfaen" w:cs="Sylfaen"/>
                <w:sz w:val="20"/>
                <w:szCs w:val="20"/>
                <w:lang w:val="ka-GE"/>
              </w:rPr>
            </w:pPr>
          </w:p>
        </w:tc>
        <w:tc>
          <w:tcPr>
            <w:tcW w:w="1246" w:type="dxa"/>
            <w:shd w:val="clear" w:color="auto" w:fill="auto"/>
          </w:tcPr>
          <w:p w14:paraId="19992F31" w14:textId="77777777" w:rsidR="00FB36CD" w:rsidRPr="00BE670B" w:rsidRDefault="00FB36CD">
            <w:pPr>
              <w:jc w:val="left"/>
            </w:pPr>
          </w:p>
        </w:tc>
        <w:tc>
          <w:tcPr>
            <w:tcW w:w="1314" w:type="dxa"/>
          </w:tcPr>
          <w:p w14:paraId="14CD9F1A" w14:textId="77777777" w:rsidR="00FB36CD" w:rsidRPr="00BE670B" w:rsidRDefault="00FB36CD">
            <w:pPr>
              <w:jc w:val="left"/>
            </w:pPr>
          </w:p>
        </w:tc>
      </w:tr>
      <w:tr w:rsidR="00FB36CD" w:rsidRPr="00BE670B" w14:paraId="65EE2125" w14:textId="77777777" w:rsidTr="00116AD6">
        <w:trPr>
          <w:trHeight w:val="895"/>
        </w:trPr>
        <w:tc>
          <w:tcPr>
            <w:tcW w:w="1597" w:type="dxa"/>
            <w:vAlign w:val="center"/>
          </w:tcPr>
          <w:p w14:paraId="50B0850A" w14:textId="742501E6" w:rsidR="00FB36CD" w:rsidRPr="008134F9" w:rsidRDefault="00FB36CD" w:rsidP="00FB36CD">
            <w:pPr>
              <w:jc w:val="left"/>
              <w:rPr>
                <w:rFonts w:cs="Sylfaen"/>
              </w:rPr>
            </w:pPr>
            <w:r>
              <w:rPr>
                <w:rFonts w:cs="Sylfaen"/>
              </w:rPr>
              <w:t>ATM</w:t>
            </w:r>
          </w:p>
        </w:tc>
        <w:tc>
          <w:tcPr>
            <w:tcW w:w="2430" w:type="dxa"/>
            <w:vAlign w:val="center"/>
          </w:tcPr>
          <w:p w14:paraId="4824DF7C" w14:textId="1A9B00C4" w:rsidR="00FB36CD" w:rsidRPr="00FB36CD" w:rsidRDefault="00FB36CD" w:rsidP="00FB36CD">
            <w:pPr>
              <w:jc w:val="left"/>
              <w:rPr>
                <w:rFonts w:ascii="Calibri" w:hAnsi="Calibri" w:cs="Calibri"/>
                <w:color w:val="000000"/>
              </w:rPr>
            </w:pPr>
            <w:r>
              <w:rPr>
                <w:rFonts w:ascii="Calibri" w:hAnsi="Calibri" w:cs="Calibri"/>
                <w:color w:val="000000"/>
              </w:rPr>
              <w:t xml:space="preserve">Indoor (Front load) </w:t>
            </w:r>
            <w:proofErr w:type="spellStart"/>
            <w:r>
              <w:rPr>
                <w:rFonts w:ascii="Calibri" w:hAnsi="Calibri" w:cs="Calibri"/>
                <w:color w:val="000000"/>
              </w:rPr>
              <w:t>cashout</w:t>
            </w:r>
            <w:proofErr w:type="spellEnd"/>
            <w:r>
              <w:rPr>
                <w:rFonts w:ascii="Calibri" w:hAnsi="Calibri" w:cs="Calibri"/>
                <w:color w:val="000000"/>
              </w:rPr>
              <w:t>, with armored safe</w:t>
            </w:r>
          </w:p>
        </w:tc>
        <w:tc>
          <w:tcPr>
            <w:tcW w:w="1283" w:type="dxa"/>
            <w:vAlign w:val="center"/>
          </w:tcPr>
          <w:p w14:paraId="1EECBB56" w14:textId="49A3E2C1" w:rsidR="00FB36CD" w:rsidRDefault="00451F8A" w:rsidP="002348C6">
            <w:pPr>
              <w:jc w:val="center"/>
              <w:rPr>
                <w:rFonts w:cs="Sylfaen"/>
              </w:rPr>
            </w:pPr>
            <w:r>
              <w:rPr>
                <w:rFonts w:cs="Sylfaen"/>
              </w:rPr>
              <w:t>40</w:t>
            </w:r>
          </w:p>
        </w:tc>
        <w:tc>
          <w:tcPr>
            <w:tcW w:w="1080" w:type="dxa"/>
            <w:vAlign w:val="center"/>
          </w:tcPr>
          <w:p w14:paraId="7ADB8F88" w14:textId="77777777" w:rsidR="00FB36CD" w:rsidRPr="00BE670B" w:rsidRDefault="00FB36CD" w:rsidP="00BE670B">
            <w:pPr>
              <w:jc w:val="center"/>
              <w:rPr>
                <w:rFonts w:cs="Sylfaen"/>
                <w:lang w:val="ka-GE"/>
              </w:rPr>
            </w:pPr>
          </w:p>
        </w:tc>
        <w:tc>
          <w:tcPr>
            <w:tcW w:w="1238" w:type="dxa"/>
          </w:tcPr>
          <w:p w14:paraId="541E4493" w14:textId="77777777" w:rsidR="00FB36CD" w:rsidRPr="00BE670B" w:rsidRDefault="00FB36CD" w:rsidP="00BE670B">
            <w:pPr>
              <w:jc w:val="left"/>
              <w:rPr>
                <w:rFonts w:cs="Sylfaen"/>
                <w:lang w:val="ka-GE"/>
              </w:rPr>
            </w:pPr>
          </w:p>
        </w:tc>
        <w:tc>
          <w:tcPr>
            <w:tcW w:w="1246" w:type="dxa"/>
            <w:shd w:val="clear" w:color="auto" w:fill="auto"/>
          </w:tcPr>
          <w:p w14:paraId="28399219" w14:textId="77777777" w:rsidR="00FB36CD" w:rsidRPr="00BE670B" w:rsidRDefault="00FB36CD">
            <w:pPr>
              <w:jc w:val="left"/>
            </w:pPr>
          </w:p>
        </w:tc>
        <w:tc>
          <w:tcPr>
            <w:tcW w:w="1314" w:type="dxa"/>
          </w:tcPr>
          <w:p w14:paraId="43A682A1" w14:textId="77777777" w:rsidR="00FB36CD" w:rsidRPr="00BE670B" w:rsidRDefault="00FB36CD">
            <w:pPr>
              <w:jc w:val="left"/>
            </w:pPr>
          </w:p>
        </w:tc>
      </w:tr>
      <w:tr w:rsidR="00116AD6" w:rsidRPr="00BE670B" w14:paraId="50688040" w14:textId="77777777" w:rsidTr="00116AD6">
        <w:trPr>
          <w:trHeight w:val="895"/>
        </w:trPr>
        <w:tc>
          <w:tcPr>
            <w:tcW w:w="1597" w:type="dxa"/>
            <w:vAlign w:val="center"/>
          </w:tcPr>
          <w:p w14:paraId="03534C77" w14:textId="7C46B05D" w:rsidR="00116AD6" w:rsidRDefault="00116AD6" w:rsidP="00FB36CD">
            <w:pPr>
              <w:jc w:val="left"/>
              <w:rPr>
                <w:rFonts w:cs="Sylfaen"/>
              </w:rPr>
            </w:pPr>
            <w:r>
              <w:rPr>
                <w:rFonts w:ascii="Sylfaen" w:hAnsi="Sylfaen"/>
                <w:lang w:val="ka-GE"/>
              </w:rPr>
              <w:t xml:space="preserve">cassettes for </w:t>
            </w:r>
            <w:r>
              <w:rPr>
                <w:rFonts w:ascii="Sylfaen" w:hAnsi="Sylfaen"/>
                <w:lang w:val="ka-GE"/>
              </w:rPr>
              <w:t>ATM</w:t>
            </w:r>
          </w:p>
        </w:tc>
        <w:tc>
          <w:tcPr>
            <w:tcW w:w="2430" w:type="dxa"/>
            <w:vAlign w:val="center"/>
          </w:tcPr>
          <w:p w14:paraId="2DA92A8D" w14:textId="36B5F3A0" w:rsidR="00116AD6" w:rsidRDefault="00116AD6" w:rsidP="00FB36CD">
            <w:pPr>
              <w:jc w:val="left"/>
              <w:rPr>
                <w:rFonts w:ascii="Calibri" w:hAnsi="Calibri" w:cs="Calibri"/>
                <w:color w:val="000000"/>
              </w:rPr>
            </w:pPr>
            <w:r w:rsidRPr="00116AD6">
              <w:rPr>
                <w:rFonts w:ascii="Calibri" w:hAnsi="Calibri" w:cs="Calibri"/>
                <w:color w:val="000000"/>
              </w:rPr>
              <w:t xml:space="preserve">The set includes 4 </w:t>
            </w:r>
            <w:proofErr w:type="spellStart"/>
            <w:r w:rsidRPr="00116AD6">
              <w:rPr>
                <w:rFonts w:ascii="Calibri" w:hAnsi="Calibri" w:cs="Calibri"/>
                <w:color w:val="000000"/>
              </w:rPr>
              <w:t>cashout</w:t>
            </w:r>
            <w:proofErr w:type="spellEnd"/>
            <w:r w:rsidRPr="00116AD6">
              <w:rPr>
                <w:rFonts w:ascii="Calibri" w:hAnsi="Calibri" w:cs="Calibri"/>
                <w:color w:val="000000"/>
              </w:rPr>
              <w:t xml:space="preserve"> cassettes + single reject</w:t>
            </w:r>
          </w:p>
        </w:tc>
        <w:tc>
          <w:tcPr>
            <w:tcW w:w="1283" w:type="dxa"/>
            <w:vAlign w:val="center"/>
          </w:tcPr>
          <w:p w14:paraId="4DD23B57" w14:textId="0B13B557" w:rsidR="00116AD6" w:rsidRPr="00116AD6" w:rsidRDefault="00116AD6" w:rsidP="002348C6">
            <w:pPr>
              <w:jc w:val="center"/>
              <w:rPr>
                <w:rFonts w:cs="Sylfaen"/>
                <w:lang w:val="ka-GE"/>
              </w:rPr>
            </w:pPr>
            <w:r>
              <w:rPr>
                <w:rFonts w:cs="Sylfaen"/>
                <w:lang w:val="ka-GE"/>
              </w:rPr>
              <w:t>300</w:t>
            </w:r>
          </w:p>
        </w:tc>
        <w:tc>
          <w:tcPr>
            <w:tcW w:w="1080" w:type="dxa"/>
            <w:vAlign w:val="center"/>
          </w:tcPr>
          <w:p w14:paraId="153B5A77" w14:textId="77777777" w:rsidR="00116AD6" w:rsidRPr="00BE670B" w:rsidRDefault="00116AD6" w:rsidP="00BE670B">
            <w:pPr>
              <w:jc w:val="center"/>
              <w:rPr>
                <w:rFonts w:cs="Sylfaen"/>
                <w:lang w:val="ka-GE"/>
              </w:rPr>
            </w:pPr>
          </w:p>
        </w:tc>
        <w:tc>
          <w:tcPr>
            <w:tcW w:w="1238" w:type="dxa"/>
          </w:tcPr>
          <w:p w14:paraId="210A4340" w14:textId="77777777" w:rsidR="00116AD6" w:rsidRPr="00BE670B" w:rsidRDefault="00116AD6" w:rsidP="00BE670B">
            <w:pPr>
              <w:jc w:val="left"/>
              <w:rPr>
                <w:rFonts w:cs="Sylfaen"/>
                <w:lang w:val="ka-GE"/>
              </w:rPr>
            </w:pPr>
          </w:p>
        </w:tc>
        <w:tc>
          <w:tcPr>
            <w:tcW w:w="1246" w:type="dxa"/>
            <w:shd w:val="clear" w:color="auto" w:fill="auto"/>
          </w:tcPr>
          <w:p w14:paraId="21C2B4AF" w14:textId="77777777" w:rsidR="00116AD6" w:rsidRPr="00BE670B" w:rsidRDefault="00116AD6">
            <w:pPr>
              <w:jc w:val="left"/>
            </w:pPr>
          </w:p>
        </w:tc>
        <w:tc>
          <w:tcPr>
            <w:tcW w:w="1314" w:type="dxa"/>
          </w:tcPr>
          <w:p w14:paraId="459A6D86" w14:textId="77777777" w:rsidR="00116AD6" w:rsidRPr="00BE670B" w:rsidRDefault="00116AD6">
            <w:pPr>
              <w:jc w:val="left"/>
            </w:pPr>
          </w:p>
        </w:tc>
      </w:tr>
    </w:tbl>
    <w:p w14:paraId="6809FEBA" w14:textId="77777777" w:rsidR="00B54332" w:rsidRDefault="00B54332">
      <w:pPr>
        <w:jc w:val="left"/>
        <w:rPr>
          <w:lang w:val="ka-GE"/>
        </w:rPr>
      </w:pPr>
    </w:p>
    <w:p w14:paraId="3936F11F" w14:textId="09ED2A47" w:rsidR="003E2F95" w:rsidRDefault="003E2F95">
      <w:pPr>
        <w:jc w:val="left"/>
        <w:rPr>
          <w:lang w:val="ka-GE"/>
        </w:rPr>
      </w:pPr>
      <w:r w:rsidRPr="00AA0BE9">
        <w:rPr>
          <w:b/>
          <w:lang w:val="ka-GE"/>
        </w:rPr>
        <w:t>შენიშვნა:</w:t>
      </w:r>
      <w:r>
        <w:rPr>
          <w:lang w:val="ka-GE"/>
        </w:rPr>
        <w:t xml:space="preserve"> საგარანტიო პერიოდი არ უნდა იყოს 12 თვეზე ნაკლები;</w:t>
      </w:r>
    </w:p>
    <w:p w14:paraId="0AE3F73E" w14:textId="375A9021" w:rsidR="00B54332" w:rsidRDefault="00B54332">
      <w:pPr>
        <w:jc w:val="left"/>
        <w:rPr>
          <w:lang w:val="ka-GE"/>
        </w:rPr>
      </w:pPr>
    </w:p>
    <w:p w14:paraId="6690B88C" w14:textId="089699DE" w:rsidR="00B54332" w:rsidRPr="00455101" w:rsidRDefault="00455101">
      <w:pPr>
        <w:jc w:val="left"/>
        <w:rPr>
          <w:b/>
          <w:lang w:val="ka-GE"/>
        </w:rPr>
      </w:pPr>
      <w:r w:rsidRPr="00455101">
        <w:rPr>
          <w:b/>
          <w:lang w:val="ka-GE"/>
        </w:rPr>
        <w:t>ტექნიკური მოთხოვნები:</w:t>
      </w:r>
    </w:p>
    <w:p w14:paraId="68EC7942" w14:textId="1D692538" w:rsidR="00455101" w:rsidRPr="00455101" w:rsidRDefault="00455101" w:rsidP="00455101">
      <w:pPr>
        <w:pStyle w:val="ListParagraph"/>
        <w:numPr>
          <w:ilvl w:val="0"/>
          <w:numId w:val="24"/>
        </w:numPr>
        <w:jc w:val="left"/>
        <w:rPr>
          <w:lang w:val="ka-GE"/>
        </w:rPr>
      </w:pPr>
      <w:r w:rsidRPr="00455101">
        <w:rPr>
          <w:lang w:val="ka-GE"/>
        </w:rPr>
        <w:t>Dispenser</w:t>
      </w:r>
      <w:r>
        <w:rPr>
          <w:lang w:val="ka-GE"/>
        </w:rPr>
        <w:t xml:space="preserve"> - </w:t>
      </w:r>
      <w:r w:rsidRPr="00455101">
        <w:rPr>
          <w:lang w:val="ka-GE"/>
        </w:rPr>
        <w:tab/>
        <w:t>4 cassette (min. 2500 notes capacity) + single reject</w:t>
      </w:r>
      <w:r w:rsidR="00116AD6">
        <w:rPr>
          <w:lang w:val="ka-GE"/>
        </w:rPr>
        <w:t xml:space="preserve"> </w:t>
      </w:r>
    </w:p>
    <w:p w14:paraId="52F4CCAA" w14:textId="0C7BD3CE" w:rsidR="00455101" w:rsidRPr="00455101" w:rsidRDefault="00455101" w:rsidP="00455101">
      <w:pPr>
        <w:pStyle w:val="ListParagraph"/>
        <w:numPr>
          <w:ilvl w:val="0"/>
          <w:numId w:val="24"/>
        </w:numPr>
        <w:jc w:val="left"/>
        <w:rPr>
          <w:lang w:val="ka-GE"/>
        </w:rPr>
      </w:pPr>
      <w:r w:rsidRPr="00455101">
        <w:rPr>
          <w:lang w:val="ka-GE"/>
        </w:rPr>
        <w:t>EPP key</w:t>
      </w:r>
      <w:r w:rsidRPr="00455101">
        <w:rPr>
          <w:lang w:val="ka-GE"/>
        </w:rPr>
        <w:tab/>
      </w:r>
      <w:r>
        <w:rPr>
          <w:lang w:val="ka-GE"/>
        </w:rPr>
        <w:t xml:space="preserve"> - </w:t>
      </w:r>
      <w:r w:rsidRPr="00455101">
        <w:rPr>
          <w:lang w:val="ka-GE"/>
        </w:rPr>
        <w:t>Encrypting PIN pad, with Braille</w:t>
      </w:r>
    </w:p>
    <w:p w14:paraId="145C80FC" w14:textId="63B06375" w:rsidR="00455101" w:rsidRPr="00455101" w:rsidRDefault="00455101" w:rsidP="00455101">
      <w:pPr>
        <w:pStyle w:val="ListParagraph"/>
        <w:numPr>
          <w:ilvl w:val="0"/>
          <w:numId w:val="24"/>
        </w:numPr>
        <w:jc w:val="left"/>
        <w:rPr>
          <w:lang w:val="ka-GE"/>
        </w:rPr>
      </w:pPr>
      <w:r w:rsidRPr="00455101">
        <w:rPr>
          <w:lang w:val="ka-GE"/>
        </w:rPr>
        <w:t>Display</w:t>
      </w:r>
      <w:r>
        <w:rPr>
          <w:lang w:val="ka-GE"/>
        </w:rPr>
        <w:t xml:space="preserve"> -</w:t>
      </w:r>
      <w:r w:rsidRPr="00455101">
        <w:rPr>
          <w:lang w:val="ka-GE"/>
        </w:rPr>
        <w:tab/>
        <w:t>LCD with protective panel, Softkey</w:t>
      </w:r>
    </w:p>
    <w:p w14:paraId="3BCCF440" w14:textId="6638612B" w:rsidR="00455101" w:rsidRPr="00455101" w:rsidRDefault="00455101" w:rsidP="00455101">
      <w:pPr>
        <w:pStyle w:val="ListParagraph"/>
        <w:numPr>
          <w:ilvl w:val="0"/>
          <w:numId w:val="24"/>
        </w:numPr>
        <w:jc w:val="left"/>
        <w:rPr>
          <w:lang w:val="ka-GE"/>
        </w:rPr>
      </w:pPr>
      <w:r w:rsidRPr="00455101">
        <w:rPr>
          <w:lang w:val="ka-GE"/>
        </w:rPr>
        <w:t>ATM Watch Eye</w:t>
      </w:r>
      <w:r w:rsidRPr="00455101">
        <w:rPr>
          <w:lang w:val="ka-GE"/>
        </w:rPr>
        <w:tab/>
      </w:r>
      <w:r>
        <w:rPr>
          <w:lang w:val="ka-GE"/>
        </w:rPr>
        <w:t xml:space="preserve"> - </w:t>
      </w:r>
      <w:r w:rsidRPr="00455101">
        <w:rPr>
          <w:lang w:val="ka-GE"/>
        </w:rPr>
        <w:t>Monitoring system</w:t>
      </w:r>
    </w:p>
    <w:p w14:paraId="40C317A3" w14:textId="045EE301" w:rsidR="00455101" w:rsidRPr="00455101" w:rsidRDefault="00455101" w:rsidP="00455101">
      <w:pPr>
        <w:pStyle w:val="ListParagraph"/>
        <w:numPr>
          <w:ilvl w:val="0"/>
          <w:numId w:val="24"/>
        </w:numPr>
        <w:jc w:val="left"/>
        <w:rPr>
          <w:lang w:val="ka-GE"/>
        </w:rPr>
      </w:pPr>
      <w:r w:rsidRPr="00455101">
        <w:rPr>
          <w:lang w:val="ka-GE"/>
        </w:rPr>
        <w:t>Card reader</w:t>
      </w:r>
      <w:r w:rsidRPr="00455101">
        <w:rPr>
          <w:lang w:val="ka-GE"/>
        </w:rPr>
        <w:tab/>
      </w:r>
      <w:r>
        <w:rPr>
          <w:lang w:val="ka-GE"/>
        </w:rPr>
        <w:t xml:space="preserve"> - </w:t>
      </w:r>
      <w:r w:rsidRPr="00455101">
        <w:rPr>
          <w:lang w:val="ka-GE"/>
        </w:rPr>
        <w:t xml:space="preserve">MC, Visa Amex, Local cards, etc supported </w:t>
      </w:r>
    </w:p>
    <w:p w14:paraId="176EA0A2" w14:textId="54A82E88" w:rsidR="00455101" w:rsidRPr="00455101" w:rsidRDefault="00455101" w:rsidP="00455101">
      <w:pPr>
        <w:pStyle w:val="ListParagraph"/>
        <w:numPr>
          <w:ilvl w:val="0"/>
          <w:numId w:val="24"/>
        </w:numPr>
        <w:jc w:val="left"/>
        <w:rPr>
          <w:lang w:val="ka-GE"/>
        </w:rPr>
      </w:pPr>
      <w:r w:rsidRPr="00455101">
        <w:rPr>
          <w:lang w:val="ka-GE"/>
        </w:rPr>
        <w:t>Contactless NFC reader</w:t>
      </w:r>
      <w:r>
        <w:rPr>
          <w:lang w:val="ka-GE"/>
        </w:rPr>
        <w:t xml:space="preserve"> -</w:t>
      </w:r>
      <w:r w:rsidRPr="00455101">
        <w:rPr>
          <w:lang w:val="ka-GE"/>
        </w:rPr>
        <w:tab/>
        <w:t xml:space="preserve">MC, Visa Amex, Local cards, etc supported </w:t>
      </w:r>
    </w:p>
    <w:p w14:paraId="0A152738" w14:textId="1D414C18" w:rsidR="00455101" w:rsidRPr="00455101" w:rsidRDefault="00455101" w:rsidP="00455101">
      <w:pPr>
        <w:pStyle w:val="ListParagraph"/>
        <w:numPr>
          <w:ilvl w:val="0"/>
          <w:numId w:val="24"/>
        </w:numPr>
        <w:jc w:val="left"/>
        <w:rPr>
          <w:lang w:val="ka-GE"/>
        </w:rPr>
      </w:pPr>
      <w:r>
        <w:rPr>
          <w:lang w:val="ka-GE"/>
        </w:rPr>
        <w:t xml:space="preserve">Printer- </w:t>
      </w:r>
      <w:r w:rsidRPr="00455101">
        <w:rPr>
          <w:lang w:val="ka-GE"/>
        </w:rPr>
        <w:t xml:space="preserve">Receipt Printer </w:t>
      </w:r>
    </w:p>
    <w:p w14:paraId="688E43F1" w14:textId="37A37418" w:rsidR="00455101" w:rsidRPr="00455101" w:rsidRDefault="00455101" w:rsidP="00455101">
      <w:pPr>
        <w:pStyle w:val="ListParagraph"/>
        <w:numPr>
          <w:ilvl w:val="0"/>
          <w:numId w:val="24"/>
        </w:numPr>
        <w:jc w:val="left"/>
        <w:rPr>
          <w:lang w:val="ka-GE"/>
        </w:rPr>
      </w:pPr>
      <w:r w:rsidRPr="00455101">
        <w:rPr>
          <w:lang w:val="ka-GE"/>
        </w:rPr>
        <w:t>CPU</w:t>
      </w:r>
      <w:r>
        <w:rPr>
          <w:lang w:val="ka-GE"/>
        </w:rPr>
        <w:t xml:space="preserve"> -</w:t>
      </w:r>
      <w:r w:rsidRPr="00455101">
        <w:rPr>
          <w:lang w:val="ka-GE"/>
        </w:rPr>
        <w:tab/>
        <w:t>Intel i5 or higher</w:t>
      </w:r>
    </w:p>
    <w:p w14:paraId="34D16206" w14:textId="22CB83FE" w:rsidR="00455101" w:rsidRPr="00455101" w:rsidRDefault="00455101" w:rsidP="00455101">
      <w:pPr>
        <w:pStyle w:val="ListParagraph"/>
        <w:numPr>
          <w:ilvl w:val="0"/>
          <w:numId w:val="24"/>
        </w:numPr>
        <w:jc w:val="left"/>
        <w:rPr>
          <w:lang w:val="ka-GE"/>
        </w:rPr>
      </w:pPr>
      <w:r w:rsidRPr="00455101">
        <w:rPr>
          <w:lang w:val="ka-GE"/>
        </w:rPr>
        <w:t>Ram</w:t>
      </w:r>
      <w:r w:rsidRPr="00455101">
        <w:rPr>
          <w:lang w:val="ka-GE"/>
        </w:rPr>
        <w:tab/>
      </w:r>
      <w:r>
        <w:rPr>
          <w:lang w:val="ka-GE"/>
        </w:rPr>
        <w:t xml:space="preserve">- </w:t>
      </w:r>
      <w:r w:rsidRPr="00455101">
        <w:rPr>
          <w:lang w:val="ka-GE"/>
        </w:rPr>
        <w:t>8GB or higher</w:t>
      </w:r>
    </w:p>
    <w:p w14:paraId="5FAA421D" w14:textId="53908630" w:rsidR="00455101" w:rsidRPr="00455101" w:rsidRDefault="00455101" w:rsidP="00455101">
      <w:pPr>
        <w:pStyle w:val="ListParagraph"/>
        <w:numPr>
          <w:ilvl w:val="0"/>
          <w:numId w:val="24"/>
        </w:numPr>
        <w:jc w:val="left"/>
        <w:rPr>
          <w:lang w:val="ka-GE"/>
        </w:rPr>
      </w:pPr>
      <w:r w:rsidRPr="00455101">
        <w:rPr>
          <w:lang w:val="ka-GE"/>
        </w:rPr>
        <w:t>Rom</w:t>
      </w:r>
      <w:r w:rsidRPr="00455101">
        <w:rPr>
          <w:lang w:val="ka-GE"/>
        </w:rPr>
        <w:tab/>
      </w:r>
      <w:r>
        <w:rPr>
          <w:lang w:val="ka-GE"/>
        </w:rPr>
        <w:t xml:space="preserve">- </w:t>
      </w:r>
      <w:r w:rsidRPr="00455101">
        <w:rPr>
          <w:lang w:val="ka-GE"/>
        </w:rPr>
        <w:t>128GB SSD or higher</w:t>
      </w:r>
    </w:p>
    <w:p w14:paraId="21B74CBF" w14:textId="33936BCA" w:rsidR="00455101" w:rsidRPr="00455101" w:rsidRDefault="00455101" w:rsidP="00455101">
      <w:pPr>
        <w:pStyle w:val="ListParagraph"/>
        <w:numPr>
          <w:ilvl w:val="0"/>
          <w:numId w:val="24"/>
        </w:numPr>
        <w:jc w:val="left"/>
        <w:rPr>
          <w:lang w:val="ka-GE"/>
        </w:rPr>
      </w:pPr>
      <w:r w:rsidRPr="00455101">
        <w:rPr>
          <w:lang w:val="ka-GE"/>
        </w:rPr>
        <w:t>Windows</w:t>
      </w:r>
      <w:r w:rsidRPr="00455101">
        <w:rPr>
          <w:lang w:val="ka-GE"/>
        </w:rPr>
        <w:tab/>
      </w:r>
      <w:r>
        <w:rPr>
          <w:lang w:val="ka-GE"/>
        </w:rPr>
        <w:t xml:space="preserve">- </w:t>
      </w:r>
      <w:r w:rsidRPr="00455101">
        <w:rPr>
          <w:lang w:val="ka-GE"/>
        </w:rPr>
        <w:t>Windows Pro 10, 64 bit, with license</w:t>
      </w:r>
    </w:p>
    <w:p w14:paraId="1007F8AE" w14:textId="5F883A05" w:rsidR="00455101" w:rsidRPr="00455101" w:rsidRDefault="00455101" w:rsidP="00455101">
      <w:pPr>
        <w:pStyle w:val="ListParagraph"/>
        <w:numPr>
          <w:ilvl w:val="0"/>
          <w:numId w:val="24"/>
        </w:numPr>
        <w:jc w:val="left"/>
        <w:rPr>
          <w:lang w:val="ka-GE"/>
        </w:rPr>
      </w:pPr>
      <w:r>
        <w:rPr>
          <w:lang w:val="ka-GE"/>
        </w:rPr>
        <w:t xml:space="preserve">ATM system - </w:t>
      </w:r>
      <w:r w:rsidRPr="00455101">
        <w:rPr>
          <w:lang w:val="ka-GE"/>
        </w:rPr>
        <w:t>With Application Software</w:t>
      </w:r>
    </w:p>
    <w:p w14:paraId="1CDBF505" w14:textId="04147A3D" w:rsidR="00455101" w:rsidRPr="00455101" w:rsidRDefault="00455101" w:rsidP="00455101">
      <w:pPr>
        <w:pStyle w:val="ListParagraph"/>
        <w:numPr>
          <w:ilvl w:val="0"/>
          <w:numId w:val="24"/>
        </w:numPr>
        <w:jc w:val="left"/>
        <w:rPr>
          <w:lang w:val="ka-GE"/>
        </w:rPr>
      </w:pPr>
      <w:r w:rsidRPr="00455101">
        <w:rPr>
          <w:lang w:val="ka-GE"/>
        </w:rPr>
        <w:t>Lan port/ RJ45</w:t>
      </w:r>
      <w:r>
        <w:rPr>
          <w:lang w:val="ka-GE"/>
        </w:rPr>
        <w:t xml:space="preserve"> -</w:t>
      </w:r>
      <w:r w:rsidRPr="00455101">
        <w:rPr>
          <w:lang w:val="ka-GE"/>
        </w:rPr>
        <w:tab/>
        <w:t>Yes</w:t>
      </w:r>
    </w:p>
    <w:p w14:paraId="3D537112" w14:textId="2CC85D02" w:rsidR="00455101" w:rsidRPr="00455101" w:rsidRDefault="00455101" w:rsidP="00455101">
      <w:pPr>
        <w:pStyle w:val="ListParagraph"/>
        <w:numPr>
          <w:ilvl w:val="0"/>
          <w:numId w:val="24"/>
        </w:numPr>
        <w:jc w:val="left"/>
        <w:rPr>
          <w:lang w:val="ka-GE"/>
        </w:rPr>
      </w:pPr>
      <w:r w:rsidRPr="00455101">
        <w:rPr>
          <w:lang w:val="ka-GE"/>
        </w:rPr>
        <w:t>Headset</w:t>
      </w:r>
      <w:r w:rsidRPr="00455101">
        <w:rPr>
          <w:lang w:val="ka-GE"/>
        </w:rPr>
        <w:tab/>
      </w:r>
      <w:r>
        <w:rPr>
          <w:lang w:val="ka-GE"/>
        </w:rPr>
        <w:t xml:space="preserve">- </w:t>
      </w:r>
      <w:r w:rsidRPr="00455101">
        <w:rPr>
          <w:lang w:val="ka-GE"/>
        </w:rPr>
        <w:t>3.5 Jack</w:t>
      </w:r>
    </w:p>
    <w:p w14:paraId="14997F31" w14:textId="29BF4971" w:rsidR="00455101" w:rsidRDefault="00455101" w:rsidP="00455101">
      <w:pPr>
        <w:pStyle w:val="ListParagraph"/>
        <w:numPr>
          <w:ilvl w:val="0"/>
          <w:numId w:val="24"/>
        </w:numPr>
        <w:jc w:val="left"/>
        <w:rPr>
          <w:lang w:val="ka-GE"/>
        </w:rPr>
      </w:pPr>
      <w:r w:rsidRPr="00455101">
        <w:rPr>
          <w:lang w:val="ka-GE"/>
        </w:rPr>
        <w:t>Light for Logo</w:t>
      </w:r>
      <w:r>
        <w:rPr>
          <w:lang w:val="ka-GE"/>
        </w:rPr>
        <w:t xml:space="preserve"> -</w:t>
      </w:r>
      <w:r w:rsidRPr="00455101">
        <w:rPr>
          <w:lang w:val="ka-GE"/>
        </w:rPr>
        <w:tab/>
        <w:t>Yes</w:t>
      </w:r>
    </w:p>
    <w:p w14:paraId="71C2DA5B" w14:textId="1E3E17B0" w:rsidR="00455101" w:rsidRPr="009B0714" w:rsidRDefault="00455101" w:rsidP="00455101">
      <w:pPr>
        <w:jc w:val="left"/>
        <w:rPr>
          <w:b/>
          <w:lang w:val="ka-GE"/>
        </w:rPr>
      </w:pPr>
    </w:p>
    <w:p w14:paraId="4F1F7FF2" w14:textId="5E980EAE" w:rsidR="00455101" w:rsidRPr="009B0714" w:rsidRDefault="00455101" w:rsidP="00455101">
      <w:pPr>
        <w:jc w:val="left"/>
        <w:rPr>
          <w:b/>
          <w:lang w:val="ka-GE"/>
        </w:rPr>
      </w:pPr>
      <w:r w:rsidRPr="009B0714">
        <w:rPr>
          <w:b/>
          <w:lang w:val="ka-GE"/>
        </w:rPr>
        <w:t>დამატებითი მოთხოვნები:</w:t>
      </w:r>
    </w:p>
    <w:tbl>
      <w:tblPr>
        <w:tblW w:w="10380" w:type="dxa"/>
        <w:tblInd w:w="108" w:type="dxa"/>
        <w:tblLook w:val="04A0" w:firstRow="1" w:lastRow="0" w:firstColumn="1" w:lastColumn="0" w:noHBand="0" w:noVBand="1"/>
      </w:tblPr>
      <w:tblGrid>
        <w:gridCol w:w="10278"/>
        <w:gridCol w:w="222"/>
      </w:tblGrid>
      <w:tr w:rsidR="00455101" w:rsidRPr="00455101" w14:paraId="751B8E6B" w14:textId="77777777" w:rsidTr="00455101">
        <w:trPr>
          <w:trHeight w:val="675"/>
        </w:trPr>
        <w:tc>
          <w:tcPr>
            <w:tcW w:w="10380" w:type="dxa"/>
            <w:gridSpan w:val="2"/>
            <w:tcBorders>
              <w:top w:val="nil"/>
              <w:left w:val="nil"/>
              <w:bottom w:val="nil"/>
              <w:right w:val="nil"/>
            </w:tcBorders>
            <w:shd w:val="clear" w:color="auto" w:fill="auto"/>
            <w:noWrap/>
            <w:vAlign w:val="center"/>
            <w:hideMark/>
          </w:tcPr>
          <w:p w14:paraId="71F59329" w14:textId="41D92BE4" w:rsidR="00455101" w:rsidRPr="008C3AEB" w:rsidRDefault="00455101" w:rsidP="008C3AEB">
            <w:pPr>
              <w:jc w:val="left"/>
              <w:rPr>
                <w:rFonts w:eastAsia="Times New Roman" w:cs="Calibri"/>
                <w:b/>
                <w:bCs/>
                <w:color w:val="000000"/>
                <w:szCs w:val="22"/>
              </w:rPr>
            </w:pPr>
            <w:proofErr w:type="spellStart"/>
            <w:r w:rsidRPr="008C3AEB">
              <w:rPr>
                <w:rFonts w:eastAsia="Times New Roman" w:cs="Calibri"/>
                <w:b/>
                <w:bCs/>
                <w:color w:val="000000"/>
                <w:szCs w:val="22"/>
              </w:rPr>
              <w:t>სრული</w:t>
            </w:r>
            <w:proofErr w:type="spellEnd"/>
            <w:r w:rsidRPr="008C3AEB">
              <w:rPr>
                <w:rFonts w:eastAsia="Times New Roman" w:cs="Calibri"/>
                <w:b/>
                <w:bCs/>
                <w:color w:val="000000"/>
                <w:szCs w:val="22"/>
              </w:rPr>
              <w:t xml:space="preserve"> </w:t>
            </w:r>
            <w:proofErr w:type="spellStart"/>
            <w:r w:rsidRPr="008C3AEB">
              <w:rPr>
                <w:rFonts w:eastAsia="Times New Roman" w:cs="Calibri"/>
                <w:b/>
                <w:bCs/>
                <w:color w:val="000000"/>
                <w:szCs w:val="22"/>
              </w:rPr>
              <w:t>სერვისი</w:t>
            </w:r>
            <w:proofErr w:type="spellEnd"/>
            <w:r w:rsidRPr="008C3AEB">
              <w:rPr>
                <w:rFonts w:eastAsia="Times New Roman" w:cs="Calibri"/>
                <w:b/>
                <w:bCs/>
                <w:color w:val="000000"/>
                <w:szCs w:val="22"/>
              </w:rPr>
              <w:t xml:space="preserve"> </w:t>
            </w:r>
            <w:proofErr w:type="spellStart"/>
            <w:r w:rsidRPr="008C3AEB">
              <w:rPr>
                <w:rFonts w:eastAsia="Times New Roman" w:cs="Calibri"/>
                <w:b/>
                <w:bCs/>
                <w:color w:val="000000"/>
                <w:szCs w:val="22"/>
              </w:rPr>
              <w:t>საქართველოში</w:t>
            </w:r>
            <w:proofErr w:type="spellEnd"/>
            <w:r w:rsidRPr="008C3AEB">
              <w:rPr>
                <w:rFonts w:eastAsia="Times New Roman" w:cs="Calibri"/>
                <w:b/>
                <w:bCs/>
                <w:color w:val="000000"/>
                <w:szCs w:val="22"/>
              </w:rPr>
              <w:t>:</w:t>
            </w:r>
          </w:p>
        </w:tc>
      </w:tr>
      <w:tr w:rsidR="00455101" w:rsidRPr="00455101" w14:paraId="7D1793ED" w14:textId="77777777" w:rsidTr="00455101">
        <w:trPr>
          <w:trHeight w:val="290"/>
        </w:trPr>
        <w:tc>
          <w:tcPr>
            <w:tcW w:w="10380" w:type="dxa"/>
            <w:gridSpan w:val="2"/>
            <w:tcBorders>
              <w:top w:val="nil"/>
              <w:left w:val="nil"/>
              <w:bottom w:val="nil"/>
              <w:right w:val="nil"/>
            </w:tcBorders>
            <w:shd w:val="clear" w:color="auto" w:fill="auto"/>
            <w:noWrap/>
            <w:vAlign w:val="center"/>
            <w:hideMark/>
          </w:tcPr>
          <w:p w14:paraId="3D3388E5" w14:textId="77777777" w:rsidR="00455101" w:rsidRPr="008C3AEB" w:rsidRDefault="00455101" w:rsidP="008C3AEB">
            <w:pPr>
              <w:pStyle w:val="ListParagraph"/>
              <w:numPr>
                <w:ilvl w:val="0"/>
                <w:numId w:val="25"/>
              </w:numPr>
              <w:jc w:val="left"/>
              <w:rPr>
                <w:rFonts w:eastAsia="Times New Roman" w:cs="Calibri"/>
                <w:color w:val="000000"/>
                <w:szCs w:val="22"/>
              </w:rPr>
            </w:pPr>
            <w:proofErr w:type="spellStart"/>
            <w:r w:rsidRPr="008C3AEB">
              <w:rPr>
                <w:rFonts w:eastAsia="Times New Roman" w:cs="Calibri"/>
                <w:color w:val="000000"/>
                <w:szCs w:val="22"/>
              </w:rPr>
              <w:t>ბანკომატების</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ხარვეზების</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მონიტორინგის</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ცენტრი</w:t>
            </w:r>
            <w:proofErr w:type="spellEnd"/>
            <w:r w:rsidRPr="008C3AEB">
              <w:rPr>
                <w:rFonts w:eastAsia="Times New Roman" w:cs="Calibri"/>
                <w:color w:val="000000"/>
                <w:szCs w:val="22"/>
              </w:rPr>
              <w:t>;</w:t>
            </w:r>
          </w:p>
        </w:tc>
      </w:tr>
      <w:tr w:rsidR="00455101" w:rsidRPr="00455101" w14:paraId="69B2DCEE" w14:textId="77777777" w:rsidTr="00455101">
        <w:trPr>
          <w:trHeight w:val="290"/>
        </w:trPr>
        <w:tc>
          <w:tcPr>
            <w:tcW w:w="10278" w:type="dxa"/>
            <w:tcBorders>
              <w:top w:val="nil"/>
              <w:left w:val="nil"/>
              <w:bottom w:val="nil"/>
              <w:right w:val="nil"/>
            </w:tcBorders>
            <w:shd w:val="clear" w:color="auto" w:fill="auto"/>
            <w:noWrap/>
            <w:vAlign w:val="bottom"/>
            <w:hideMark/>
          </w:tcPr>
          <w:p w14:paraId="0C92EA08" w14:textId="77777777" w:rsidR="00455101" w:rsidRPr="008C3AEB" w:rsidRDefault="00455101" w:rsidP="008C3AEB">
            <w:pPr>
              <w:pStyle w:val="ListParagraph"/>
              <w:numPr>
                <w:ilvl w:val="0"/>
                <w:numId w:val="25"/>
              </w:numPr>
              <w:jc w:val="left"/>
              <w:rPr>
                <w:rFonts w:eastAsia="Times New Roman" w:cs="Calibri"/>
                <w:color w:val="000000"/>
                <w:szCs w:val="22"/>
              </w:rPr>
            </w:pPr>
            <w:proofErr w:type="spellStart"/>
            <w:r w:rsidRPr="008C3AEB">
              <w:rPr>
                <w:rFonts w:eastAsia="Times New Roman" w:cs="Calibri"/>
                <w:color w:val="000000"/>
                <w:szCs w:val="22"/>
              </w:rPr>
              <w:t>ტექნიკური</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მხარდაჭერის</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სამსახური</w:t>
            </w:r>
            <w:proofErr w:type="spellEnd"/>
            <w:r w:rsidRPr="008C3AEB">
              <w:rPr>
                <w:rFonts w:eastAsia="Times New Roman" w:cs="Calibri"/>
                <w:color w:val="000000"/>
                <w:szCs w:val="22"/>
              </w:rPr>
              <w:t>;</w:t>
            </w:r>
          </w:p>
        </w:tc>
        <w:tc>
          <w:tcPr>
            <w:tcW w:w="102" w:type="dxa"/>
            <w:tcBorders>
              <w:top w:val="nil"/>
              <w:left w:val="nil"/>
              <w:bottom w:val="nil"/>
              <w:right w:val="nil"/>
            </w:tcBorders>
            <w:shd w:val="clear" w:color="auto" w:fill="auto"/>
            <w:noWrap/>
            <w:vAlign w:val="bottom"/>
            <w:hideMark/>
          </w:tcPr>
          <w:p w14:paraId="7B28DCFD" w14:textId="77777777" w:rsidR="00455101" w:rsidRPr="00455101" w:rsidRDefault="00455101" w:rsidP="00455101">
            <w:pPr>
              <w:jc w:val="left"/>
              <w:rPr>
                <w:rFonts w:eastAsia="Times New Roman" w:cs="Calibri"/>
                <w:color w:val="000000"/>
                <w:szCs w:val="22"/>
              </w:rPr>
            </w:pPr>
          </w:p>
        </w:tc>
      </w:tr>
      <w:tr w:rsidR="00455101" w:rsidRPr="00455101" w14:paraId="7C866865" w14:textId="77777777" w:rsidTr="00455101">
        <w:trPr>
          <w:trHeight w:val="290"/>
        </w:trPr>
        <w:tc>
          <w:tcPr>
            <w:tcW w:w="10278" w:type="dxa"/>
            <w:tcBorders>
              <w:top w:val="nil"/>
              <w:left w:val="nil"/>
              <w:bottom w:val="nil"/>
              <w:right w:val="nil"/>
            </w:tcBorders>
            <w:shd w:val="clear" w:color="auto" w:fill="auto"/>
            <w:noWrap/>
            <w:vAlign w:val="bottom"/>
            <w:hideMark/>
          </w:tcPr>
          <w:p w14:paraId="0DD27C97" w14:textId="77777777" w:rsidR="00455101" w:rsidRPr="008C3AEB" w:rsidRDefault="00455101" w:rsidP="008C3AEB">
            <w:pPr>
              <w:pStyle w:val="ListParagraph"/>
              <w:numPr>
                <w:ilvl w:val="0"/>
                <w:numId w:val="25"/>
              </w:numPr>
              <w:jc w:val="left"/>
              <w:rPr>
                <w:rFonts w:eastAsia="Times New Roman" w:cs="Calibri"/>
                <w:color w:val="000000"/>
                <w:szCs w:val="22"/>
              </w:rPr>
            </w:pPr>
            <w:proofErr w:type="spellStart"/>
            <w:r w:rsidRPr="008C3AEB">
              <w:rPr>
                <w:rFonts w:eastAsia="Times New Roman" w:cs="Calibri"/>
                <w:color w:val="000000"/>
                <w:szCs w:val="22"/>
              </w:rPr>
              <w:t>სათადარიგო</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ნაწილები</w:t>
            </w:r>
            <w:proofErr w:type="spellEnd"/>
            <w:r w:rsidRPr="008C3AEB">
              <w:rPr>
                <w:rFonts w:eastAsia="Times New Roman" w:cs="Calibri"/>
                <w:color w:val="000000"/>
                <w:szCs w:val="22"/>
              </w:rPr>
              <w:t>;</w:t>
            </w:r>
          </w:p>
        </w:tc>
        <w:tc>
          <w:tcPr>
            <w:tcW w:w="102" w:type="dxa"/>
            <w:tcBorders>
              <w:top w:val="nil"/>
              <w:left w:val="nil"/>
              <w:bottom w:val="nil"/>
              <w:right w:val="nil"/>
            </w:tcBorders>
            <w:shd w:val="clear" w:color="auto" w:fill="auto"/>
            <w:noWrap/>
            <w:vAlign w:val="bottom"/>
            <w:hideMark/>
          </w:tcPr>
          <w:p w14:paraId="5F02766F" w14:textId="77777777" w:rsidR="00455101" w:rsidRPr="00455101" w:rsidRDefault="00455101" w:rsidP="00455101">
            <w:pPr>
              <w:jc w:val="left"/>
              <w:rPr>
                <w:rFonts w:eastAsia="Times New Roman" w:cs="Calibri"/>
                <w:color w:val="000000"/>
                <w:szCs w:val="22"/>
              </w:rPr>
            </w:pPr>
          </w:p>
        </w:tc>
      </w:tr>
      <w:tr w:rsidR="00455101" w:rsidRPr="00455101" w14:paraId="767F54F1" w14:textId="77777777" w:rsidTr="00455101">
        <w:trPr>
          <w:trHeight w:val="290"/>
        </w:trPr>
        <w:tc>
          <w:tcPr>
            <w:tcW w:w="10278" w:type="dxa"/>
            <w:tcBorders>
              <w:top w:val="nil"/>
              <w:left w:val="nil"/>
              <w:bottom w:val="nil"/>
              <w:right w:val="nil"/>
            </w:tcBorders>
            <w:shd w:val="clear" w:color="auto" w:fill="auto"/>
            <w:noWrap/>
            <w:vAlign w:val="bottom"/>
            <w:hideMark/>
          </w:tcPr>
          <w:p w14:paraId="4B5FF65B" w14:textId="77777777" w:rsidR="00455101" w:rsidRPr="008C3AEB" w:rsidRDefault="00455101" w:rsidP="008C3AEB">
            <w:pPr>
              <w:pStyle w:val="ListParagraph"/>
              <w:numPr>
                <w:ilvl w:val="0"/>
                <w:numId w:val="25"/>
              </w:numPr>
              <w:jc w:val="left"/>
              <w:rPr>
                <w:rFonts w:eastAsia="Times New Roman" w:cs="Calibri"/>
                <w:color w:val="000000"/>
                <w:szCs w:val="22"/>
              </w:rPr>
            </w:pPr>
            <w:proofErr w:type="spellStart"/>
            <w:r w:rsidRPr="008C3AEB">
              <w:rPr>
                <w:rFonts w:eastAsia="Times New Roman" w:cs="Calibri"/>
                <w:color w:val="000000"/>
                <w:szCs w:val="22"/>
              </w:rPr>
              <w:t>საგარანტიო</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მომსახურება</w:t>
            </w:r>
            <w:proofErr w:type="spellEnd"/>
            <w:r w:rsidRPr="008C3AEB">
              <w:rPr>
                <w:rFonts w:eastAsia="Times New Roman" w:cs="Calibri"/>
                <w:color w:val="000000"/>
                <w:szCs w:val="22"/>
              </w:rPr>
              <w:t xml:space="preserve"> (SLA);</w:t>
            </w:r>
          </w:p>
        </w:tc>
        <w:tc>
          <w:tcPr>
            <w:tcW w:w="102" w:type="dxa"/>
            <w:tcBorders>
              <w:top w:val="nil"/>
              <w:left w:val="nil"/>
              <w:bottom w:val="nil"/>
              <w:right w:val="nil"/>
            </w:tcBorders>
            <w:shd w:val="clear" w:color="auto" w:fill="auto"/>
            <w:noWrap/>
            <w:vAlign w:val="bottom"/>
            <w:hideMark/>
          </w:tcPr>
          <w:p w14:paraId="3B7AF114" w14:textId="77777777" w:rsidR="00455101" w:rsidRPr="00455101" w:rsidRDefault="00455101" w:rsidP="00455101">
            <w:pPr>
              <w:jc w:val="left"/>
              <w:rPr>
                <w:rFonts w:eastAsia="Times New Roman" w:cs="Calibri"/>
                <w:color w:val="000000"/>
                <w:szCs w:val="22"/>
              </w:rPr>
            </w:pPr>
          </w:p>
        </w:tc>
      </w:tr>
      <w:tr w:rsidR="00455101" w:rsidRPr="00455101" w14:paraId="276F7391" w14:textId="77777777" w:rsidTr="00455101">
        <w:trPr>
          <w:trHeight w:val="290"/>
        </w:trPr>
        <w:tc>
          <w:tcPr>
            <w:tcW w:w="10278" w:type="dxa"/>
            <w:tcBorders>
              <w:top w:val="nil"/>
              <w:left w:val="nil"/>
              <w:bottom w:val="nil"/>
              <w:right w:val="nil"/>
            </w:tcBorders>
            <w:shd w:val="clear" w:color="auto" w:fill="auto"/>
            <w:noWrap/>
            <w:vAlign w:val="bottom"/>
            <w:hideMark/>
          </w:tcPr>
          <w:p w14:paraId="0DEAA919" w14:textId="77777777" w:rsidR="00455101" w:rsidRPr="00455101" w:rsidRDefault="00455101" w:rsidP="00455101">
            <w:pPr>
              <w:jc w:val="left"/>
              <w:rPr>
                <w:rFonts w:eastAsia="Times New Roman" w:cs="Times New Roman"/>
                <w:color w:val="auto"/>
              </w:rPr>
            </w:pPr>
          </w:p>
        </w:tc>
        <w:tc>
          <w:tcPr>
            <w:tcW w:w="102" w:type="dxa"/>
            <w:tcBorders>
              <w:top w:val="nil"/>
              <w:left w:val="nil"/>
              <w:bottom w:val="nil"/>
              <w:right w:val="nil"/>
            </w:tcBorders>
            <w:shd w:val="clear" w:color="auto" w:fill="auto"/>
            <w:noWrap/>
            <w:vAlign w:val="bottom"/>
            <w:hideMark/>
          </w:tcPr>
          <w:p w14:paraId="7E65EE2F" w14:textId="77777777" w:rsidR="00455101" w:rsidRPr="00455101" w:rsidRDefault="00455101" w:rsidP="00455101">
            <w:pPr>
              <w:jc w:val="left"/>
              <w:rPr>
                <w:rFonts w:eastAsia="Times New Roman" w:cs="Times New Roman"/>
                <w:color w:val="auto"/>
              </w:rPr>
            </w:pPr>
          </w:p>
        </w:tc>
      </w:tr>
      <w:tr w:rsidR="00455101" w:rsidRPr="00455101" w14:paraId="2175C6A1" w14:textId="77777777" w:rsidTr="00455101">
        <w:trPr>
          <w:trHeight w:val="585"/>
        </w:trPr>
        <w:tc>
          <w:tcPr>
            <w:tcW w:w="10380" w:type="dxa"/>
            <w:gridSpan w:val="2"/>
            <w:tcBorders>
              <w:top w:val="nil"/>
              <w:left w:val="nil"/>
              <w:bottom w:val="nil"/>
              <w:right w:val="nil"/>
            </w:tcBorders>
            <w:shd w:val="clear" w:color="auto" w:fill="auto"/>
            <w:noWrap/>
            <w:vAlign w:val="center"/>
            <w:hideMark/>
          </w:tcPr>
          <w:p w14:paraId="79B14A21" w14:textId="74B813D0" w:rsidR="00455101" w:rsidRPr="008C3AEB" w:rsidRDefault="00455101" w:rsidP="008C3AEB">
            <w:pPr>
              <w:jc w:val="left"/>
              <w:rPr>
                <w:rFonts w:eastAsia="Times New Roman" w:cs="Calibri"/>
                <w:b/>
                <w:bCs/>
                <w:color w:val="000000"/>
                <w:szCs w:val="22"/>
              </w:rPr>
            </w:pPr>
            <w:proofErr w:type="spellStart"/>
            <w:r w:rsidRPr="008C3AEB">
              <w:rPr>
                <w:rFonts w:eastAsia="Times New Roman" w:cs="Calibri"/>
                <w:b/>
                <w:bCs/>
                <w:color w:val="000000"/>
                <w:szCs w:val="22"/>
              </w:rPr>
              <w:t>მონიტორინგის</w:t>
            </w:r>
            <w:proofErr w:type="spellEnd"/>
            <w:r w:rsidRPr="008C3AEB">
              <w:rPr>
                <w:rFonts w:eastAsia="Times New Roman" w:cs="Calibri"/>
                <w:b/>
                <w:bCs/>
                <w:color w:val="000000"/>
                <w:szCs w:val="22"/>
              </w:rPr>
              <w:t xml:space="preserve"> </w:t>
            </w:r>
            <w:proofErr w:type="spellStart"/>
            <w:r w:rsidRPr="008C3AEB">
              <w:rPr>
                <w:rFonts w:eastAsia="Times New Roman" w:cs="Calibri"/>
                <w:b/>
                <w:bCs/>
                <w:color w:val="000000"/>
                <w:szCs w:val="22"/>
              </w:rPr>
              <w:t>პროგრამა</w:t>
            </w:r>
            <w:proofErr w:type="spellEnd"/>
            <w:r w:rsidRPr="008C3AEB">
              <w:rPr>
                <w:rFonts w:eastAsia="Times New Roman" w:cs="Calibri"/>
                <w:b/>
                <w:bCs/>
                <w:color w:val="000000"/>
                <w:szCs w:val="22"/>
              </w:rPr>
              <w:t xml:space="preserve"> </w:t>
            </w:r>
            <w:proofErr w:type="spellStart"/>
            <w:r w:rsidRPr="008C3AEB">
              <w:rPr>
                <w:rFonts w:eastAsia="Times New Roman" w:cs="Calibri"/>
                <w:b/>
                <w:bCs/>
                <w:color w:val="000000"/>
                <w:szCs w:val="22"/>
              </w:rPr>
              <w:t>ინკასაციის</w:t>
            </w:r>
            <w:proofErr w:type="spellEnd"/>
            <w:r w:rsidRPr="008C3AEB">
              <w:rPr>
                <w:rFonts w:eastAsia="Times New Roman" w:cs="Calibri"/>
                <w:b/>
                <w:bCs/>
                <w:color w:val="000000"/>
                <w:szCs w:val="22"/>
              </w:rPr>
              <w:t xml:space="preserve"> </w:t>
            </w:r>
            <w:proofErr w:type="spellStart"/>
            <w:r w:rsidRPr="008C3AEB">
              <w:rPr>
                <w:rFonts w:eastAsia="Times New Roman" w:cs="Calibri"/>
                <w:b/>
                <w:bCs/>
                <w:color w:val="000000"/>
                <w:szCs w:val="22"/>
              </w:rPr>
              <w:t>სამსახურისთვის</w:t>
            </w:r>
            <w:proofErr w:type="spellEnd"/>
            <w:r w:rsidRPr="008C3AEB">
              <w:rPr>
                <w:rFonts w:eastAsia="Times New Roman" w:cs="Calibri"/>
                <w:b/>
                <w:bCs/>
                <w:color w:val="000000"/>
                <w:szCs w:val="22"/>
              </w:rPr>
              <w:t>:</w:t>
            </w:r>
          </w:p>
        </w:tc>
      </w:tr>
      <w:tr w:rsidR="00455101" w:rsidRPr="00455101" w14:paraId="66CC35E0" w14:textId="77777777" w:rsidTr="00455101">
        <w:trPr>
          <w:trHeight w:val="290"/>
        </w:trPr>
        <w:tc>
          <w:tcPr>
            <w:tcW w:w="10380" w:type="dxa"/>
            <w:gridSpan w:val="2"/>
            <w:tcBorders>
              <w:top w:val="nil"/>
              <w:left w:val="nil"/>
              <w:bottom w:val="nil"/>
              <w:right w:val="nil"/>
            </w:tcBorders>
            <w:shd w:val="clear" w:color="auto" w:fill="auto"/>
            <w:noWrap/>
            <w:vAlign w:val="center"/>
            <w:hideMark/>
          </w:tcPr>
          <w:p w14:paraId="3E51E508" w14:textId="1B4AB138" w:rsidR="00455101" w:rsidRPr="008C3AEB" w:rsidRDefault="00455101" w:rsidP="008C3AEB">
            <w:pPr>
              <w:pStyle w:val="ListParagraph"/>
              <w:numPr>
                <w:ilvl w:val="0"/>
                <w:numId w:val="24"/>
              </w:numPr>
              <w:rPr>
                <w:rFonts w:eastAsia="Times New Roman" w:cs="Calibri"/>
                <w:color w:val="000000"/>
                <w:szCs w:val="22"/>
              </w:rPr>
            </w:pPr>
            <w:proofErr w:type="spellStart"/>
            <w:r w:rsidRPr="008C3AEB">
              <w:rPr>
                <w:rFonts w:eastAsia="Times New Roman" w:cs="Calibri"/>
                <w:color w:val="000000"/>
                <w:szCs w:val="22"/>
              </w:rPr>
              <w:t>ბანკომატებისთვის</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წინასწარი</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პროგნოზის</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ჩასატვირთვი</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ლიმიტების</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დადგენის</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შესაძლებლობა</w:t>
            </w:r>
            <w:proofErr w:type="spellEnd"/>
          </w:p>
        </w:tc>
      </w:tr>
      <w:tr w:rsidR="00455101" w:rsidRPr="00455101" w14:paraId="67669C51" w14:textId="77777777" w:rsidTr="00455101">
        <w:trPr>
          <w:trHeight w:val="290"/>
        </w:trPr>
        <w:tc>
          <w:tcPr>
            <w:tcW w:w="10380" w:type="dxa"/>
            <w:gridSpan w:val="2"/>
            <w:tcBorders>
              <w:top w:val="nil"/>
              <w:left w:val="nil"/>
              <w:bottom w:val="nil"/>
              <w:right w:val="nil"/>
            </w:tcBorders>
            <w:shd w:val="clear" w:color="auto" w:fill="auto"/>
            <w:noWrap/>
            <w:vAlign w:val="center"/>
            <w:hideMark/>
          </w:tcPr>
          <w:p w14:paraId="433BC7A3" w14:textId="77777777" w:rsidR="00455101" w:rsidRPr="008C3AEB" w:rsidRDefault="00455101" w:rsidP="008C3AEB">
            <w:pPr>
              <w:pStyle w:val="ListParagraph"/>
              <w:numPr>
                <w:ilvl w:val="0"/>
                <w:numId w:val="24"/>
              </w:numPr>
              <w:jc w:val="left"/>
              <w:rPr>
                <w:rFonts w:eastAsia="Times New Roman" w:cs="Calibri"/>
                <w:color w:val="000000"/>
                <w:szCs w:val="22"/>
              </w:rPr>
            </w:pPr>
            <w:proofErr w:type="spellStart"/>
            <w:r w:rsidRPr="008C3AEB">
              <w:rPr>
                <w:rFonts w:eastAsia="Times New Roman" w:cs="Calibri"/>
                <w:color w:val="000000"/>
                <w:szCs w:val="22"/>
              </w:rPr>
              <w:t>მარშუტის</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დაგეგმვის</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შესაძლებლობა</w:t>
            </w:r>
            <w:proofErr w:type="spellEnd"/>
            <w:r w:rsidRPr="008C3AEB">
              <w:rPr>
                <w:rFonts w:eastAsia="Times New Roman" w:cs="Calibri"/>
                <w:color w:val="000000"/>
                <w:szCs w:val="22"/>
              </w:rPr>
              <w:t>;</w:t>
            </w:r>
          </w:p>
        </w:tc>
      </w:tr>
      <w:tr w:rsidR="00455101" w:rsidRPr="00455101" w14:paraId="01523AE4" w14:textId="77777777" w:rsidTr="00455101">
        <w:trPr>
          <w:trHeight w:val="290"/>
        </w:trPr>
        <w:tc>
          <w:tcPr>
            <w:tcW w:w="10380" w:type="dxa"/>
            <w:gridSpan w:val="2"/>
            <w:tcBorders>
              <w:top w:val="nil"/>
              <w:left w:val="nil"/>
              <w:bottom w:val="nil"/>
              <w:right w:val="nil"/>
            </w:tcBorders>
            <w:shd w:val="clear" w:color="auto" w:fill="auto"/>
            <w:noWrap/>
            <w:vAlign w:val="center"/>
            <w:hideMark/>
          </w:tcPr>
          <w:p w14:paraId="6687C30A" w14:textId="77777777" w:rsidR="00455101" w:rsidRPr="008C3AEB" w:rsidRDefault="00455101" w:rsidP="008C3AEB">
            <w:pPr>
              <w:pStyle w:val="ListParagraph"/>
              <w:numPr>
                <w:ilvl w:val="0"/>
                <w:numId w:val="24"/>
              </w:numPr>
              <w:jc w:val="left"/>
              <w:rPr>
                <w:rFonts w:eastAsia="Times New Roman" w:cs="Calibri"/>
                <w:color w:val="000000"/>
                <w:szCs w:val="22"/>
              </w:rPr>
            </w:pPr>
            <w:proofErr w:type="spellStart"/>
            <w:r w:rsidRPr="008C3AEB">
              <w:rPr>
                <w:rFonts w:eastAsia="Times New Roman" w:cs="Calibri"/>
                <w:color w:val="000000"/>
                <w:szCs w:val="22"/>
              </w:rPr>
              <w:t>ბანკომატში</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თანხის</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ონლაინ</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კონტროლი</w:t>
            </w:r>
            <w:proofErr w:type="spellEnd"/>
            <w:r w:rsidRPr="008C3AEB">
              <w:rPr>
                <w:rFonts w:eastAsia="Times New Roman" w:cs="Calibri"/>
                <w:color w:val="000000"/>
                <w:szCs w:val="22"/>
              </w:rPr>
              <w:t>;</w:t>
            </w:r>
          </w:p>
        </w:tc>
      </w:tr>
      <w:tr w:rsidR="00455101" w:rsidRPr="00455101" w14:paraId="74A86FAE" w14:textId="77777777" w:rsidTr="00455101">
        <w:trPr>
          <w:trHeight w:val="290"/>
        </w:trPr>
        <w:tc>
          <w:tcPr>
            <w:tcW w:w="10380" w:type="dxa"/>
            <w:gridSpan w:val="2"/>
            <w:tcBorders>
              <w:top w:val="nil"/>
              <w:left w:val="nil"/>
              <w:bottom w:val="nil"/>
              <w:right w:val="nil"/>
            </w:tcBorders>
            <w:shd w:val="clear" w:color="auto" w:fill="auto"/>
            <w:noWrap/>
            <w:vAlign w:val="center"/>
            <w:hideMark/>
          </w:tcPr>
          <w:p w14:paraId="4AA9F1A7" w14:textId="77777777" w:rsidR="00455101" w:rsidRPr="008C3AEB" w:rsidRDefault="00455101" w:rsidP="008C3AEB">
            <w:pPr>
              <w:pStyle w:val="ListParagraph"/>
              <w:numPr>
                <w:ilvl w:val="0"/>
                <w:numId w:val="24"/>
              </w:numPr>
              <w:jc w:val="left"/>
              <w:rPr>
                <w:rFonts w:eastAsia="Times New Roman" w:cs="Calibri"/>
                <w:color w:val="000000"/>
                <w:szCs w:val="22"/>
              </w:rPr>
            </w:pPr>
            <w:proofErr w:type="spellStart"/>
            <w:r w:rsidRPr="008C3AEB">
              <w:rPr>
                <w:rFonts w:eastAsia="Times New Roman" w:cs="Calibri"/>
                <w:color w:val="000000"/>
                <w:szCs w:val="22"/>
              </w:rPr>
              <w:t>რეპორტების</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და</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ნოტიფიკაციების</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გენერირების</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საშუალება</w:t>
            </w:r>
            <w:proofErr w:type="spellEnd"/>
            <w:r w:rsidRPr="008C3AEB">
              <w:rPr>
                <w:rFonts w:eastAsia="Times New Roman" w:cs="Calibri"/>
                <w:color w:val="000000"/>
                <w:szCs w:val="22"/>
              </w:rPr>
              <w:t xml:space="preserve">; </w:t>
            </w:r>
          </w:p>
        </w:tc>
      </w:tr>
      <w:tr w:rsidR="00455101" w:rsidRPr="00455101" w14:paraId="049B4CFE" w14:textId="77777777" w:rsidTr="00455101">
        <w:trPr>
          <w:trHeight w:val="290"/>
        </w:trPr>
        <w:tc>
          <w:tcPr>
            <w:tcW w:w="10380" w:type="dxa"/>
            <w:gridSpan w:val="2"/>
            <w:tcBorders>
              <w:top w:val="nil"/>
              <w:left w:val="nil"/>
              <w:bottom w:val="nil"/>
              <w:right w:val="nil"/>
            </w:tcBorders>
            <w:shd w:val="clear" w:color="auto" w:fill="auto"/>
            <w:noWrap/>
            <w:vAlign w:val="center"/>
            <w:hideMark/>
          </w:tcPr>
          <w:p w14:paraId="7CD14D9C" w14:textId="77777777" w:rsidR="00455101" w:rsidRPr="008C3AEB" w:rsidRDefault="00455101" w:rsidP="008C3AEB">
            <w:pPr>
              <w:pStyle w:val="ListParagraph"/>
              <w:numPr>
                <w:ilvl w:val="0"/>
                <w:numId w:val="24"/>
              </w:numPr>
              <w:jc w:val="left"/>
              <w:rPr>
                <w:rFonts w:eastAsia="Times New Roman" w:cs="Calibri"/>
                <w:color w:val="000000"/>
                <w:szCs w:val="22"/>
              </w:rPr>
            </w:pPr>
            <w:proofErr w:type="spellStart"/>
            <w:r w:rsidRPr="008C3AEB">
              <w:rPr>
                <w:rFonts w:eastAsia="Times New Roman" w:cs="Calibri"/>
                <w:color w:val="000000"/>
                <w:szCs w:val="22"/>
              </w:rPr>
              <w:t>სხვადასხვა</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ლოგიკა</w:t>
            </w:r>
            <w:proofErr w:type="spellEnd"/>
            <w:r w:rsidRPr="008C3AEB">
              <w:rPr>
                <w:rFonts w:eastAsia="Times New Roman" w:cs="Calibri"/>
                <w:color w:val="000000"/>
                <w:szCs w:val="22"/>
              </w:rPr>
              <w:t>/</w:t>
            </w:r>
            <w:proofErr w:type="spellStart"/>
            <w:r w:rsidRPr="008C3AEB">
              <w:rPr>
                <w:rFonts w:eastAsia="Times New Roman" w:cs="Calibri"/>
                <w:color w:val="000000"/>
                <w:szCs w:val="22"/>
              </w:rPr>
              <w:t>ალგორითმის</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გამოყენების</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საშუალება</w:t>
            </w:r>
            <w:proofErr w:type="spellEnd"/>
            <w:r w:rsidRPr="008C3AEB">
              <w:rPr>
                <w:rFonts w:eastAsia="Times New Roman" w:cs="Calibri"/>
                <w:color w:val="000000"/>
                <w:szCs w:val="22"/>
              </w:rPr>
              <w:t>;</w:t>
            </w:r>
          </w:p>
        </w:tc>
      </w:tr>
      <w:tr w:rsidR="00455101" w:rsidRPr="00455101" w14:paraId="160D83FE" w14:textId="77777777" w:rsidTr="00455101">
        <w:trPr>
          <w:trHeight w:val="290"/>
        </w:trPr>
        <w:tc>
          <w:tcPr>
            <w:tcW w:w="10278" w:type="dxa"/>
            <w:tcBorders>
              <w:top w:val="nil"/>
              <w:left w:val="nil"/>
              <w:bottom w:val="nil"/>
              <w:right w:val="nil"/>
            </w:tcBorders>
            <w:shd w:val="clear" w:color="auto" w:fill="auto"/>
            <w:noWrap/>
            <w:vAlign w:val="bottom"/>
            <w:hideMark/>
          </w:tcPr>
          <w:p w14:paraId="54E54E5D" w14:textId="77777777" w:rsidR="00455101" w:rsidRPr="00455101" w:rsidRDefault="00455101" w:rsidP="00455101">
            <w:pPr>
              <w:jc w:val="left"/>
              <w:rPr>
                <w:rFonts w:eastAsia="Times New Roman" w:cs="Calibri"/>
                <w:color w:val="000000"/>
                <w:szCs w:val="22"/>
              </w:rPr>
            </w:pPr>
          </w:p>
        </w:tc>
        <w:tc>
          <w:tcPr>
            <w:tcW w:w="102" w:type="dxa"/>
            <w:tcBorders>
              <w:top w:val="nil"/>
              <w:left w:val="nil"/>
              <w:bottom w:val="nil"/>
              <w:right w:val="nil"/>
            </w:tcBorders>
            <w:shd w:val="clear" w:color="auto" w:fill="auto"/>
            <w:noWrap/>
            <w:vAlign w:val="bottom"/>
            <w:hideMark/>
          </w:tcPr>
          <w:p w14:paraId="7BFC386C" w14:textId="77777777" w:rsidR="00455101" w:rsidRPr="00455101" w:rsidRDefault="00455101" w:rsidP="00455101">
            <w:pPr>
              <w:jc w:val="left"/>
              <w:rPr>
                <w:rFonts w:eastAsia="Times New Roman" w:cs="Times New Roman"/>
                <w:color w:val="auto"/>
              </w:rPr>
            </w:pPr>
          </w:p>
        </w:tc>
      </w:tr>
      <w:tr w:rsidR="00455101" w:rsidRPr="00455101" w14:paraId="0F5D6CB7" w14:textId="77777777" w:rsidTr="00455101">
        <w:trPr>
          <w:trHeight w:val="570"/>
        </w:trPr>
        <w:tc>
          <w:tcPr>
            <w:tcW w:w="10380" w:type="dxa"/>
            <w:gridSpan w:val="2"/>
            <w:tcBorders>
              <w:top w:val="nil"/>
              <w:left w:val="nil"/>
              <w:bottom w:val="nil"/>
              <w:right w:val="nil"/>
            </w:tcBorders>
            <w:shd w:val="clear" w:color="auto" w:fill="auto"/>
            <w:noWrap/>
            <w:vAlign w:val="center"/>
            <w:hideMark/>
          </w:tcPr>
          <w:p w14:paraId="1F8D6B63" w14:textId="3C56A46F" w:rsidR="00455101" w:rsidRPr="008C3AEB" w:rsidRDefault="00455101" w:rsidP="008C3AEB">
            <w:pPr>
              <w:jc w:val="left"/>
              <w:rPr>
                <w:rFonts w:eastAsia="Times New Roman" w:cs="Calibri"/>
                <w:b/>
                <w:bCs/>
                <w:color w:val="000000"/>
                <w:szCs w:val="22"/>
              </w:rPr>
            </w:pPr>
            <w:proofErr w:type="spellStart"/>
            <w:r w:rsidRPr="008C3AEB">
              <w:rPr>
                <w:rFonts w:eastAsia="Times New Roman" w:cs="Calibri"/>
                <w:b/>
                <w:bCs/>
                <w:color w:val="000000"/>
                <w:szCs w:val="22"/>
              </w:rPr>
              <w:lastRenderedPageBreak/>
              <w:t>მონიტორინგის</w:t>
            </w:r>
            <w:proofErr w:type="spellEnd"/>
            <w:r w:rsidRPr="008C3AEB">
              <w:rPr>
                <w:rFonts w:eastAsia="Times New Roman" w:cs="Calibri"/>
                <w:b/>
                <w:bCs/>
                <w:color w:val="000000"/>
                <w:szCs w:val="22"/>
              </w:rPr>
              <w:t xml:space="preserve"> </w:t>
            </w:r>
            <w:proofErr w:type="spellStart"/>
            <w:r w:rsidRPr="008C3AEB">
              <w:rPr>
                <w:rFonts w:eastAsia="Times New Roman" w:cs="Calibri"/>
                <w:b/>
                <w:bCs/>
                <w:color w:val="000000"/>
                <w:szCs w:val="22"/>
              </w:rPr>
              <w:t>პროგრამა</w:t>
            </w:r>
            <w:proofErr w:type="spellEnd"/>
            <w:r w:rsidRPr="008C3AEB">
              <w:rPr>
                <w:rFonts w:eastAsia="Times New Roman" w:cs="Calibri"/>
                <w:b/>
                <w:bCs/>
                <w:color w:val="000000"/>
                <w:szCs w:val="22"/>
              </w:rPr>
              <w:t xml:space="preserve"> </w:t>
            </w:r>
            <w:proofErr w:type="spellStart"/>
            <w:r w:rsidRPr="008C3AEB">
              <w:rPr>
                <w:rFonts w:eastAsia="Times New Roman" w:cs="Calibri"/>
                <w:b/>
                <w:bCs/>
                <w:color w:val="000000"/>
                <w:szCs w:val="22"/>
              </w:rPr>
              <w:t>ბიზნესისთვის</w:t>
            </w:r>
            <w:proofErr w:type="spellEnd"/>
            <w:r w:rsidRPr="008C3AEB">
              <w:rPr>
                <w:rFonts w:eastAsia="Times New Roman" w:cs="Calibri"/>
                <w:b/>
                <w:bCs/>
                <w:color w:val="000000"/>
                <w:szCs w:val="22"/>
              </w:rPr>
              <w:t>:</w:t>
            </w:r>
          </w:p>
        </w:tc>
      </w:tr>
      <w:tr w:rsidR="00455101" w:rsidRPr="00455101" w14:paraId="0B438E5E" w14:textId="77777777" w:rsidTr="00455101">
        <w:trPr>
          <w:trHeight w:val="290"/>
        </w:trPr>
        <w:tc>
          <w:tcPr>
            <w:tcW w:w="10380" w:type="dxa"/>
            <w:gridSpan w:val="2"/>
            <w:tcBorders>
              <w:top w:val="nil"/>
              <w:left w:val="nil"/>
              <w:bottom w:val="nil"/>
              <w:right w:val="nil"/>
            </w:tcBorders>
            <w:shd w:val="clear" w:color="auto" w:fill="auto"/>
            <w:noWrap/>
            <w:vAlign w:val="center"/>
            <w:hideMark/>
          </w:tcPr>
          <w:p w14:paraId="0E20615B" w14:textId="77777777" w:rsidR="00455101" w:rsidRPr="008C3AEB" w:rsidRDefault="00455101" w:rsidP="008C3AEB">
            <w:pPr>
              <w:pStyle w:val="ListParagraph"/>
              <w:numPr>
                <w:ilvl w:val="0"/>
                <w:numId w:val="26"/>
              </w:numPr>
              <w:jc w:val="left"/>
              <w:rPr>
                <w:rFonts w:eastAsia="Times New Roman" w:cs="Calibri"/>
                <w:color w:val="000000"/>
                <w:szCs w:val="22"/>
              </w:rPr>
            </w:pPr>
            <w:proofErr w:type="spellStart"/>
            <w:r w:rsidRPr="008C3AEB">
              <w:rPr>
                <w:rFonts w:eastAsia="Times New Roman" w:cs="Calibri"/>
                <w:color w:val="000000"/>
                <w:szCs w:val="22"/>
              </w:rPr>
              <w:t>ბანკომატების</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ქსელის</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ონლაინ</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კონტროლი</w:t>
            </w:r>
            <w:proofErr w:type="spellEnd"/>
            <w:r w:rsidRPr="008C3AEB">
              <w:rPr>
                <w:rFonts w:eastAsia="Times New Roman" w:cs="Calibri"/>
                <w:color w:val="000000"/>
                <w:szCs w:val="22"/>
              </w:rPr>
              <w:t>;</w:t>
            </w:r>
          </w:p>
        </w:tc>
      </w:tr>
      <w:tr w:rsidR="00455101" w:rsidRPr="00455101" w14:paraId="190BFDFD" w14:textId="77777777" w:rsidTr="00455101">
        <w:trPr>
          <w:trHeight w:val="290"/>
        </w:trPr>
        <w:tc>
          <w:tcPr>
            <w:tcW w:w="10380" w:type="dxa"/>
            <w:gridSpan w:val="2"/>
            <w:tcBorders>
              <w:top w:val="nil"/>
              <w:left w:val="nil"/>
              <w:bottom w:val="nil"/>
              <w:right w:val="nil"/>
            </w:tcBorders>
            <w:shd w:val="clear" w:color="auto" w:fill="auto"/>
            <w:noWrap/>
            <w:vAlign w:val="center"/>
            <w:hideMark/>
          </w:tcPr>
          <w:p w14:paraId="39B9695E" w14:textId="77777777" w:rsidR="00455101" w:rsidRPr="008C3AEB" w:rsidRDefault="00455101" w:rsidP="008C3AEB">
            <w:pPr>
              <w:pStyle w:val="ListParagraph"/>
              <w:numPr>
                <w:ilvl w:val="0"/>
                <w:numId w:val="26"/>
              </w:numPr>
              <w:jc w:val="left"/>
              <w:rPr>
                <w:rFonts w:eastAsia="Times New Roman" w:cs="Calibri"/>
                <w:color w:val="000000"/>
                <w:szCs w:val="22"/>
              </w:rPr>
            </w:pPr>
            <w:proofErr w:type="spellStart"/>
            <w:r w:rsidRPr="008C3AEB">
              <w:rPr>
                <w:rFonts w:eastAsia="Times New Roman" w:cs="Calibri"/>
                <w:color w:val="000000"/>
                <w:szCs w:val="22"/>
              </w:rPr>
              <w:t>რეპორტების</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და</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ნოტიფიკაციების</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გენერირების</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საშუალება</w:t>
            </w:r>
            <w:proofErr w:type="spellEnd"/>
            <w:r w:rsidRPr="008C3AEB">
              <w:rPr>
                <w:rFonts w:eastAsia="Times New Roman" w:cs="Calibri"/>
                <w:color w:val="000000"/>
                <w:szCs w:val="22"/>
              </w:rPr>
              <w:t xml:space="preserve">; </w:t>
            </w:r>
          </w:p>
        </w:tc>
      </w:tr>
      <w:tr w:rsidR="00455101" w:rsidRPr="00455101" w14:paraId="4721D416" w14:textId="77777777" w:rsidTr="00455101">
        <w:trPr>
          <w:trHeight w:val="290"/>
        </w:trPr>
        <w:tc>
          <w:tcPr>
            <w:tcW w:w="10380" w:type="dxa"/>
            <w:gridSpan w:val="2"/>
            <w:tcBorders>
              <w:top w:val="nil"/>
              <w:left w:val="nil"/>
              <w:bottom w:val="nil"/>
              <w:right w:val="nil"/>
            </w:tcBorders>
            <w:shd w:val="clear" w:color="auto" w:fill="auto"/>
            <w:noWrap/>
            <w:vAlign w:val="center"/>
            <w:hideMark/>
          </w:tcPr>
          <w:p w14:paraId="7C1B8748" w14:textId="77777777" w:rsidR="00455101" w:rsidRPr="008C3AEB" w:rsidRDefault="00455101" w:rsidP="008C3AEB">
            <w:pPr>
              <w:pStyle w:val="ListParagraph"/>
              <w:numPr>
                <w:ilvl w:val="0"/>
                <w:numId w:val="26"/>
              </w:numPr>
              <w:jc w:val="left"/>
              <w:rPr>
                <w:rFonts w:eastAsia="Times New Roman" w:cs="Calibri"/>
                <w:color w:val="000000"/>
                <w:szCs w:val="22"/>
              </w:rPr>
            </w:pPr>
            <w:proofErr w:type="spellStart"/>
            <w:r w:rsidRPr="008C3AEB">
              <w:rPr>
                <w:rFonts w:eastAsia="Times New Roman" w:cs="Calibri"/>
                <w:color w:val="000000"/>
                <w:szCs w:val="22"/>
              </w:rPr>
              <w:t>ოპერაციების</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ფოტო</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მასალაზე</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პირდაპირი</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წვდომა</w:t>
            </w:r>
            <w:proofErr w:type="spellEnd"/>
            <w:r w:rsidRPr="008C3AEB">
              <w:rPr>
                <w:rFonts w:eastAsia="Times New Roman" w:cs="Calibri"/>
                <w:color w:val="000000"/>
                <w:szCs w:val="22"/>
              </w:rPr>
              <w:t>/</w:t>
            </w:r>
            <w:proofErr w:type="spellStart"/>
            <w:r w:rsidRPr="008C3AEB">
              <w:rPr>
                <w:rFonts w:eastAsia="Times New Roman" w:cs="Calibri"/>
                <w:color w:val="000000"/>
                <w:szCs w:val="22"/>
              </w:rPr>
              <w:t>ჩამოწერა</w:t>
            </w:r>
            <w:proofErr w:type="spellEnd"/>
            <w:r w:rsidRPr="008C3AEB">
              <w:rPr>
                <w:rFonts w:eastAsia="Times New Roman" w:cs="Calibri"/>
                <w:color w:val="000000"/>
                <w:szCs w:val="22"/>
              </w:rPr>
              <w:t xml:space="preserve">; </w:t>
            </w:r>
          </w:p>
        </w:tc>
      </w:tr>
      <w:tr w:rsidR="00455101" w:rsidRPr="00455101" w14:paraId="52E6B5B5" w14:textId="77777777" w:rsidTr="00455101">
        <w:trPr>
          <w:trHeight w:val="290"/>
        </w:trPr>
        <w:tc>
          <w:tcPr>
            <w:tcW w:w="10380" w:type="dxa"/>
            <w:gridSpan w:val="2"/>
            <w:tcBorders>
              <w:top w:val="nil"/>
              <w:left w:val="nil"/>
              <w:bottom w:val="nil"/>
              <w:right w:val="nil"/>
            </w:tcBorders>
            <w:shd w:val="clear" w:color="auto" w:fill="auto"/>
            <w:noWrap/>
            <w:vAlign w:val="center"/>
            <w:hideMark/>
          </w:tcPr>
          <w:p w14:paraId="77D21E70" w14:textId="77777777" w:rsidR="00455101" w:rsidRPr="008C3AEB" w:rsidRDefault="00455101" w:rsidP="008C3AEB">
            <w:pPr>
              <w:pStyle w:val="ListParagraph"/>
              <w:numPr>
                <w:ilvl w:val="0"/>
                <w:numId w:val="26"/>
              </w:numPr>
              <w:jc w:val="left"/>
              <w:rPr>
                <w:rFonts w:eastAsia="Times New Roman" w:cs="Calibri"/>
                <w:color w:val="000000"/>
                <w:szCs w:val="22"/>
              </w:rPr>
            </w:pPr>
            <w:proofErr w:type="spellStart"/>
            <w:r w:rsidRPr="008C3AEB">
              <w:rPr>
                <w:rFonts w:eastAsia="Times New Roman" w:cs="Calibri"/>
                <w:color w:val="000000"/>
                <w:szCs w:val="22"/>
              </w:rPr>
              <w:t>ტრანზაქციების</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ლოგებზე</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და</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ჟურნალებზე</w:t>
            </w:r>
            <w:proofErr w:type="spellEnd"/>
            <w:r w:rsidRPr="008C3AEB">
              <w:rPr>
                <w:rFonts w:eastAsia="Times New Roman" w:cs="Calibri"/>
                <w:color w:val="000000"/>
                <w:szCs w:val="22"/>
              </w:rPr>
              <w:t xml:space="preserve"> </w:t>
            </w:r>
            <w:proofErr w:type="spellStart"/>
            <w:r w:rsidRPr="008C3AEB">
              <w:rPr>
                <w:rFonts w:eastAsia="Times New Roman" w:cs="Calibri"/>
                <w:color w:val="000000"/>
                <w:szCs w:val="22"/>
              </w:rPr>
              <w:t>წვდომა</w:t>
            </w:r>
            <w:proofErr w:type="spellEnd"/>
            <w:r w:rsidRPr="008C3AEB">
              <w:rPr>
                <w:rFonts w:eastAsia="Times New Roman" w:cs="Calibri"/>
                <w:color w:val="000000"/>
                <w:szCs w:val="22"/>
              </w:rPr>
              <w:t>/</w:t>
            </w:r>
            <w:proofErr w:type="spellStart"/>
            <w:r w:rsidRPr="008C3AEB">
              <w:rPr>
                <w:rFonts w:eastAsia="Times New Roman" w:cs="Calibri"/>
                <w:color w:val="000000"/>
                <w:szCs w:val="22"/>
              </w:rPr>
              <w:t>ჩამოწერა</w:t>
            </w:r>
            <w:proofErr w:type="spellEnd"/>
            <w:r w:rsidRPr="008C3AEB">
              <w:rPr>
                <w:rFonts w:eastAsia="Times New Roman" w:cs="Calibri"/>
                <w:color w:val="000000"/>
                <w:szCs w:val="22"/>
              </w:rPr>
              <w:t>;</w:t>
            </w:r>
          </w:p>
        </w:tc>
      </w:tr>
    </w:tbl>
    <w:p w14:paraId="0AB07B41" w14:textId="77777777" w:rsidR="00455101" w:rsidRPr="00455101" w:rsidRDefault="00455101" w:rsidP="00455101">
      <w:pPr>
        <w:jc w:val="left"/>
        <w:rPr>
          <w:lang w:val="ka-GE"/>
        </w:rPr>
      </w:pPr>
    </w:p>
    <w:p w14:paraId="27645288" w14:textId="27BC30C4"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10" w:name="_Toc22227849"/>
      <w:r w:rsidRPr="00C525A4">
        <w:rPr>
          <w:rFonts w:eastAsiaTheme="minorHAnsi" w:cs="Sylfaen"/>
          <w:color w:val="231F20"/>
          <w:sz w:val="22"/>
          <w:szCs w:val="20"/>
          <w:lang w:eastAsia="en-US"/>
        </w:rPr>
        <w:t>დანართი 2: საბანკო რეკვიზიტები</w:t>
      </w:r>
      <w:bookmarkEnd w:id="10"/>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933D2" w14:textId="77777777" w:rsidR="00B41F9B" w:rsidRDefault="00B41F9B" w:rsidP="002E7950">
      <w:r>
        <w:separator/>
      </w:r>
    </w:p>
  </w:endnote>
  <w:endnote w:type="continuationSeparator" w:id="0">
    <w:p w14:paraId="0BAEF4CD" w14:textId="77777777" w:rsidR="00B41F9B" w:rsidRDefault="00B41F9B"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30FE2432"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D75A62">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D75A62">
              <w:rPr>
                <w:bCs/>
                <w:noProof/>
                <w:sz w:val="16"/>
                <w:szCs w:val="16"/>
              </w:rPr>
              <w:t>6</w:t>
            </w:r>
            <w:r w:rsidRPr="00DF4821">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DD988" w14:textId="77777777" w:rsidR="00B41F9B" w:rsidRDefault="00B41F9B" w:rsidP="002E7950">
      <w:r>
        <w:separator/>
      </w:r>
    </w:p>
  </w:footnote>
  <w:footnote w:type="continuationSeparator" w:id="0">
    <w:p w14:paraId="0B80B335" w14:textId="77777777" w:rsidR="00B41F9B" w:rsidRDefault="00B41F9B" w:rsidP="002E79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52B"/>
    <w:multiLevelType w:val="hybridMultilevel"/>
    <w:tmpl w:val="FEB06CC4"/>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2670C7"/>
    <w:multiLevelType w:val="multilevel"/>
    <w:tmpl w:val="28DE5B62"/>
    <w:numStyleLink w:val="hierarchy"/>
  </w:abstractNum>
  <w:abstractNum w:abstractNumId="3" w15:restartNumberingAfterBreak="0">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B782A"/>
    <w:multiLevelType w:val="hybridMultilevel"/>
    <w:tmpl w:val="14BE122A"/>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7" w15:restartNumberingAfterBreak="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EB0CA5"/>
    <w:multiLevelType w:val="hybridMultilevel"/>
    <w:tmpl w:val="54E09CFC"/>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967E5"/>
    <w:multiLevelType w:val="hybridMultilevel"/>
    <w:tmpl w:val="1368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3"/>
  </w:num>
  <w:num w:numId="4">
    <w:abstractNumId w:val="14"/>
  </w:num>
  <w:num w:numId="5">
    <w:abstractNumId w:val="13"/>
  </w:num>
  <w:num w:numId="6">
    <w:abstractNumId w:val="2"/>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7"/>
  </w:num>
  <w:num w:numId="8">
    <w:abstractNumId w:val="18"/>
  </w:num>
  <w:num w:numId="9">
    <w:abstractNumId w:val="20"/>
  </w:num>
  <w:num w:numId="10">
    <w:abstractNumId w:val="4"/>
  </w:num>
  <w:num w:numId="11">
    <w:abstractNumId w:val="19"/>
  </w:num>
  <w:num w:numId="12">
    <w:abstractNumId w:val="1"/>
  </w:num>
  <w:num w:numId="13">
    <w:abstractNumId w:val="2"/>
  </w:num>
  <w:num w:numId="14">
    <w:abstractNumId w:val="24"/>
  </w:num>
  <w:num w:numId="15">
    <w:abstractNumId w:val="8"/>
  </w:num>
  <w:num w:numId="16">
    <w:abstractNumId w:val="17"/>
  </w:num>
  <w:num w:numId="17">
    <w:abstractNumId w:val="9"/>
  </w:num>
  <w:num w:numId="18">
    <w:abstractNumId w:val="11"/>
  </w:num>
  <w:num w:numId="19">
    <w:abstractNumId w:val="15"/>
  </w:num>
  <w:num w:numId="20">
    <w:abstractNumId w:val="12"/>
  </w:num>
  <w:num w:numId="21">
    <w:abstractNumId w:val="6"/>
  </w:num>
  <w:num w:numId="22">
    <w:abstractNumId w:val="10"/>
  </w:num>
  <w:num w:numId="23">
    <w:abstractNumId w:val="22"/>
  </w:num>
  <w:num w:numId="24">
    <w:abstractNumId w:val="0"/>
  </w:num>
  <w:num w:numId="25">
    <w:abstractNumId w:val="21"/>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47A1A"/>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0A48"/>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AD6"/>
    <w:rsid w:val="00116D13"/>
    <w:rsid w:val="001179E5"/>
    <w:rsid w:val="00117CEE"/>
    <w:rsid w:val="001202ED"/>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0B65"/>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780"/>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04D7"/>
    <w:rsid w:val="003411F8"/>
    <w:rsid w:val="00341423"/>
    <w:rsid w:val="0034144D"/>
    <w:rsid w:val="0034287F"/>
    <w:rsid w:val="003431D6"/>
    <w:rsid w:val="00343976"/>
    <w:rsid w:val="00343C27"/>
    <w:rsid w:val="003441A2"/>
    <w:rsid w:val="00344CD0"/>
    <w:rsid w:val="0034508D"/>
    <w:rsid w:val="003459C0"/>
    <w:rsid w:val="00346479"/>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A18"/>
    <w:rsid w:val="003E0EC0"/>
    <w:rsid w:val="003E11E4"/>
    <w:rsid w:val="003E130F"/>
    <w:rsid w:val="003E1D4C"/>
    <w:rsid w:val="003E2129"/>
    <w:rsid w:val="003E2F95"/>
    <w:rsid w:val="003E4EF2"/>
    <w:rsid w:val="003E649A"/>
    <w:rsid w:val="003E7346"/>
    <w:rsid w:val="003E73C1"/>
    <w:rsid w:val="003E74AE"/>
    <w:rsid w:val="003E77B9"/>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167D"/>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1F8A"/>
    <w:rsid w:val="00452A29"/>
    <w:rsid w:val="0045357D"/>
    <w:rsid w:val="004537DB"/>
    <w:rsid w:val="00453D7B"/>
    <w:rsid w:val="00455101"/>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4C6"/>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D7E56"/>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3A9F"/>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05BC"/>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B5F"/>
    <w:rsid w:val="00643D33"/>
    <w:rsid w:val="00645F56"/>
    <w:rsid w:val="00646DE5"/>
    <w:rsid w:val="00646E02"/>
    <w:rsid w:val="00647F5F"/>
    <w:rsid w:val="006505ED"/>
    <w:rsid w:val="00651252"/>
    <w:rsid w:val="00651AAE"/>
    <w:rsid w:val="00652C70"/>
    <w:rsid w:val="00653248"/>
    <w:rsid w:val="0065340B"/>
    <w:rsid w:val="00653558"/>
    <w:rsid w:val="00653632"/>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6A86"/>
    <w:rsid w:val="007874AC"/>
    <w:rsid w:val="00787D4C"/>
    <w:rsid w:val="007905C3"/>
    <w:rsid w:val="00790DEB"/>
    <w:rsid w:val="00792C32"/>
    <w:rsid w:val="00792D79"/>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A78DD"/>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6106"/>
    <w:rsid w:val="008066FA"/>
    <w:rsid w:val="00806F9C"/>
    <w:rsid w:val="00807E89"/>
    <w:rsid w:val="0081049E"/>
    <w:rsid w:val="00810866"/>
    <w:rsid w:val="00810A8A"/>
    <w:rsid w:val="00811C70"/>
    <w:rsid w:val="00812548"/>
    <w:rsid w:val="00812742"/>
    <w:rsid w:val="008134F9"/>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19D2"/>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155"/>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3AEB"/>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0AE"/>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14F"/>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714"/>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6BC"/>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0BE9"/>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1C0B"/>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B8C"/>
    <w:rsid w:val="00B3318F"/>
    <w:rsid w:val="00B35670"/>
    <w:rsid w:val="00B3650D"/>
    <w:rsid w:val="00B36B3B"/>
    <w:rsid w:val="00B36CA6"/>
    <w:rsid w:val="00B405AE"/>
    <w:rsid w:val="00B40870"/>
    <w:rsid w:val="00B41F9B"/>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3F94"/>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7A8"/>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5A62"/>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432D"/>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3200"/>
    <w:rsid w:val="00FA70A8"/>
    <w:rsid w:val="00FA71DB"/>
    <w:rsid w:val="00FB099F"/>
    <w:rsid w:val="00FB0A98"/>
    <w:rsid w:val="00FB0DAA"/>
    <w:rsid w:val="00FB0F4E"/>
    <w:rsid w:val="00FB19DD"/>
    <w:rsid w:val="00FB2072"/>
    <w:rsid w:val="00FB291F"/>
    <w:rsid w:val="00FB2C42"/>
    <w:rsid w:val="00FB36CD"/>
    <w:rsid w:val="00FB6042"/>
    <w:rsid w:val="00FB6167"/>
    <w:rsid w:val="00FB6DB2"/>
    <w:rsid w:val="00FB7085"/>
    <w:rsid w:val="00FB758C"/>
    <w:rsid w:val="00FB7676"/>
    <w:rsid w:val="00FC0BCA"/>
    <w:rsid w:val="00FC1344"/>
    <w:rsid w:val="00FC1A2B"/>
    <w:rsid w:val="00FC1DFA"/>
    <w:rsid w:val="00FC420D"/>
    <w:rsid w:val="00FC4241"/>
    <w:rsid w:val="00FC42F7"/>
    <w:rsid w:val="00FC436D"/>
    <w:rsid w:val="00FC4662"/>
    <w:rsid w:val="00FC5E7C"/>
    <w:rsid w:val="00FC66FD"/>
    <w:rsid w:val="00FC74E6"/>
    <w:rsid w:val="00FC79C3"/>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0BF"/>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C8D2037B-BDD9-429A-B2CE-D4DC85E4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0654">
      <w:bodyDiv w:val="1"/>
      <w:marLeft w:val="0"/>
      <w:marRight w:val="0"/>
      <w:marTop w:val="0"/>
      <w:marBottom w:val="0"/>
      <w:divBdr>
        <w:top w:val="none" w:sz="0" w:space="0" w:color="auto"/>
        <w:left w:val="none" w:sz="0" w:space="0" w:color="auto"/>
        <w:bottom w:val="none" w:sz="0" w:space="0" w:color="auto"/>
        <w:right w:val="none" w:sz="0" w:space="0" w:color="auto"/>
      </w:divBdr>
    </w:div>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51780261">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094932026">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11475722">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31670801">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hyperlink" Target="mailto:Bchola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BC677B-A879-4481-B2D9-C11D0C54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Nino Bushelashvili</cp:lastModifiedBy>
  <cp:revision>8</cp:revision>
  <cp:lastPrinted>2019-10-17T14:03:00Z</cp:lastPrinted>
  <dcterms:created xsi:type="dcterms:W3CDTF">2024-03-12T18:52:00Z</dcterms:created>
  <dcterms:modified xsi:type="dcterms:W3CDTF">2024-03-15T12:22:00Z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