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11B80" w:rsidRDefault="00A9121C" w:rsidP="009B3E12">
            <w:pPr>
              <w:rPr>
                <w:lang w:val="ka-GE"/>
              </w:rPr>
            </w:pPr>
            <w:r>
              <w:rPr>
                <w:lang w:val="ka-GE"/>
              </w:rPr>
              <w:t>6</w:t>
            </w:r>
            <w:r w:rsidR="00697EA1">
              <w:t xml:space="preserve"> </w:t>
            </w:r>
            <w:r w:rsidR="001E246B">
              <w:rPr>
                <w:lang w:val="ka-GE"/>
              </w:rPr>
              <w:t xml:space="preserve"> </w:t>
            </w:r>
            <w:proofErr w:type="spellStart"/>
            <w:r w:rsidR="00ED327F">
              <w:rPr>
                <w:lang w:val="ka-GE"/>
              </w:rPr>
              <w:t>ფასმაჩვენე</w:t>
            </w:r>
            <w:r w:rsidR="00FB21A1">
              <w:rPr>
                <w:lang w:val="ka-GE"/>
              </w:rPr>
              <w:t>ბე</w:t>
            </w:r>
            <w:r w:rsidR="00ED327F">
              <w:rPr>
                <w:lang w:val="ka-GE"/>
              </w:rPr>
              <w:t>ლი</w:t>
            </w:r>
            <w:proofErr w:type="spellEnd"/>
            <w:r w:rsidR="00ED327F">
              <w:rPr>
                <w:lang w:val="ka-GE"/>
              </w:rPr>
              <w:t xml:space="preserve"> სვეტი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ED327F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ახალი </w:t>
            </w:r>
            <w:proofErr w:type="spellStart"/>
            <w:r w:rsidR="00FB21A1">
              <w:rPr>
                <w:lang w:val="ka-GE"/>
              </w:rPr>
              <w:t>ფასმაჩ</w:t>
            </w:r>
            <w:r>
              <w:rPr>
                <w:lang w:val="ka-GE"/>
              </w:rPr>
              <w:t>ვენებლების</w:t>
            </w:r>
            <w:proofErr w:type="spellEnd"/>
            <w:r>
              <w:rPr>
                <w:lang w:val="ka-GE"/>
              </w:rPr>
              <w:t xml:space="preserve"> დამზადება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065C7C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ED327F">
              <w:rPr>
                <w:lang w:val="ka-GE"/>
              </w:rPr>
              <w:t>10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ED327F" w:rsidP="009B3E12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4 წელი გარანტია 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B92314" w:rsidRDefault="001E246B" w:rsidP="009B3E12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222569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511288" w:rsidRDefault="00511288">
      <w:bookmarkStart w:id="0" w:name="_GoBack"/>
      <w:bookmarkEnd w:id="0"/>
    </w:p>
    <w:sectPr w:rsidR="005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65C7C"/>
    <w:rsid w:val="000742F8"/>
    <w:rsid w:val="001E246B"/>
    <w:rsid w:val="003B710B"/>
    <w:rsid w:val="00511288"/>
    <w:rsid w:val="00697EA1"/>
    <w:rsid w:val="008A1AE9"/>
    <w:rsid w:val="008C4EDC"/>
    <w:rsid w:val="009D3109"/>
    <w:rsid w:val="00A9121C"/>
    <w:rsid w:val="00D90C64"/>
    <w:rsid w:val="00ED327F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DE7E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VVDU5HPDTQC2-89-218797</_dlc_DocId>
    <_dlc_DocIdUrl xmlns="a5444ea2-90b0-4ece-a612-f39e0dd9a22f">
      <Url>https://docflow.socar.ge/dms/requests/_layouts/15/DocIdRedir.aspx?ID=VVDU5HPDTQC2-89-218797</Url>
      <Description>VVDU5HPDTQC2-89-218797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Nana Shaishmelashvili</cp:lastModifiedBy>
  <cp:revision>4</cp:revision>
  <dcterms:created xsi:type="dcterms:W3CDTF">2024-04-04T13:12:00Z</dcterms:created>
  <dcterms:modified xsi:type="dcterms:W3CDTF">2024-04-04T13:22:00Z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2726beb9-5c22-40fa-8997-42157c078be8</vt:lpwstr>
  </property>
</Properties>
</file>