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663EF6F5" w14:textId="77777777" w:rsidR="0075122E" w:rsidRPr="008B4D4C" w:rsidRDefault="009434C5" w:rsidP="0075122E">
      <w:pPr>
        <w:pStyle w:val="Header"/>
        <w:rPr>
          <w:rFonts w:ascii="Sylfaen" w:hAnsi="Sylfaen"/>
          <w:lang w:val="ka-GE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75122E">
        <w:rPr>
          <w:rFonts w:ascii="Sylfaen" w:hAnsi="Sylfaen"/>
          <w:b/>
          <w:lang w:val="ka-GE"/>
        </w:rPr>
        <w:t>გათბობა-გაგრილების სისტემების გეგმიური და არა-გეგმიური სერვისი</w:t>
      </w:r>
    </w:p>
    <w:p w14:paraId="3BCD4FFA" w14:textId="1894FDAE" w:rsidR="0078001B" w:rsidRDefault="00C45743" w:rsidP="008E79C3">
      <w:pPr>
        <w:pStyle w:val="Head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-ის შესყიდვა </w:t>
      </w:r>
    </w:p>
    <w:p w14:paraId="4CB772D2" w14:textId="77777777" w:rsidR="0075122E" w:rsidRPr="008B4D4C" w:rsidRDefault="0075122E" w:rsidP="008E79C3">
      <w:pPr>
        <w:pStyle w:val="Header"/>
        <w:rPr>
          <w:rFonts w:ascii="Sylfaen" w:hAnsi="Sylfaen"/>
          <w:lang w:val="ka-GE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491A5F72" w:rsidR="0078001B" w:rsidRPr="00987FDF" w:rsidRDefault="0004454C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  <w:r w:rsidR="00C45743">
              <w:rPr>
                <w:rFonts w:ascii="Sylfaen" w:hAnsi="Sylfaen"/>
                <w:lang w:val="ka-GE"/>
              </w:rPr>
              <w:t>.0</w:t>
            </w:r>
            <w:r w:rsidR="008B4D4C">
              <w:rPr>
                <w:rFonts w:ascii="Sylfaen" w:hAnsi="Sylfaen"/>
                <w:lang w:val="ka-GE"/>
              </w:rPr>
              <w:t>4</w:t>
            </w:r>
            <w:r w:rsidR="00C45743">
              <w:rPr>
                <w:rFonts w:ascii="Sylfaen" w:hAnsi="Sylfaen"/>
                <w:lang w:val="ka-GE"/>
              </w:rPr>
              <w:t>.2024</w:t>
            </w:r>
          </w:p>
          <w:p w14:paraId="59A1407B" w14:textId="3D811655" w:rsidR="0078001B" w:rsidRPr="008662A8" w:rsidRDefault="005141EB" w:rsidP="001B7EBF">
            <w:r>
              <w:rPr>
                <w:rFonts w:ascii="Sylfaen" w:hAnsi="Sylfaen"/>
                <w:lang w:val="ka-GE"/>
              </w:rPr>
              <w:t>10</w:t>
            </w:r>
            <w:r w:rsidR="00987FDF">
              <w:rPr>
                <w:rFonts w:ascii="Sylfaen" w:hAnsi="Sylfaen"/>
                <w:lang w:val="ka-GE"/>
              </w:rPr>
              <w:t>.0</w:t>
            </w:r>
            <w:r w:rsidR="0004454C">
              <w:rPr>
                <w:rFonts w:ascii="Sylfaen" w:hAnsi="Sylfaen"/>
                <w:lang w:val="ka-GE"/>
              </w:rPr>
              <w:t>5</w:t>
            </w:r>
            <w:r w:rsidR="00987FDF">
              <w:rPr>
                <w:rFonts w:ascii="Sylfaen" w:hAnsi="Sylfaen"/>
                <w:lang w:val="ka-GE"/>
              </w:rPr>
              <w:t>.202</w:t>
            </w:r>
            <w:r w:rsidR="00C45743">
              <w:rPr>
                <w:rFonts w:ascii="Sylfaen" w:hAnsi="Sylfaen"/>
                <w:lang w:val="ka-GE"/>
              </w:rPr>
              <w:t>4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3EE34085" w:rsidR="0078001B" w:rsidRPr="00842C2A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გიქოშვილი</w:t>
            </w:r>
          </w:p>
          <w:p w14:paraId="0701BED0" w14:textId="091F7B65" w:rsidR="0078001B" w:rsidRPr="00B43835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mgikoshvili@evex.ge</w:t>
            </w:r>
          </w:p>
          <w:p w14:paraId="6901DC32" w14:textId="0062FE01" w:rsidR="0078001B" w:rsidRPr="00B43835" w:rsidRDefault="0078001B" w:rsidP="001B7EBF">
            <w:pPr>
              <w:rPr>
                <w:lang w:val="en-US"/>
              </w:rPr>
            </w:pP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2E5F67A5" w14:textId="7CB279EB" w:rsidR="00A92E91" w:rsidRPr="008B4D4C" w:rsidRDefault="00A17D48" w:rsidP="008B4D4C">
      <w:pPr>
        <w:pStyle w:val="Header"/>
        <w:rPr>
          <w:rFonts w:ascii="Sylfaen" w:hAnsi="Sylfaen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75122E" w:rsidRPr="0075122E">
        <w:rPr>
          <w:rFonts w:ascii="Sylfaen" w:hAnsi="Sylfaen"/>
          <w:b/>
          <w:sz w:val="20"/>
          <w:lang w:val="ka-GE"/>
        </w:rPr>
        <w:t>გათბობა-გაგრილების სისტემების გეგმიური და არა-გეგმიური სერვისი</w:t>
      </w:r>
      <w:r w:rsidR="00C45743" w:rsidRPr="0075122E">
        <w:rPr>
          <w:rFonts w:ascii="Sylfaen" w:hAnsi="Sylfaen" w:cs="Sylfaen"/>
          <w:b/>
          <w:sz w:val="20"/>
          <w:lang w:val="ka-GE"/>
        </w:rPr>
        <w:t>-ის შესყიდვაზე</w:t>
      </w:r>
      <w:r w:rsidR="00C45743">
        <w:rPr>
          <w:rFonts w:ascii="Sylfaen" w:hAnsi="Sylfaen" w:cs="Sylfaen"/>
          <w:b/>
          <w:sz w:val="20"/>
          <w:lang w:val="ka-GE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დოკუმენტის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მიზანია</w:t>
      </w:r>
      <w:proofErr w:type="spellEnd"/>
      <w:r w:rsidR="005B7AE4" w:rsidRPr="00905499">
        <w:rPr>
          <w:rFonts w:ascii="Sylfaen" w:hAnsi="Sylfaen" w:cs="Sylfaen"/>
          <w:sz w:val="20"/>
          <w:lang w:val="ka-GE"/>
        </w:rPr>
        <w:t>,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="005B7AE4" w:rsidRPr="00905499">
        <w:rPr>
          <w:rFonts w:ascii="Sylfaen" w:hAnsi="Sylfaen" w:cs="Sylfaen"/>
          <w:sz w:val="20"/>
        </w:rPr>
        <w:t>მარტოს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5B7AE4" w:rsidRPr="00905499">
        <w:rPr>
          <w:rFonts w:ascii="Sylfaen" w:hAnsi="Sylfaen" w:cs="Sylfaen"/>
          <w:sz w:val="20"/>
        </w:rPr>
        <w:t>მოთხოვნები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და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პირობები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8FD084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</w:t>
      </w:r>
      <w:r w:rsidR="00C45743">
        <w:rPr>
          <w:rFonts w:ascii="Sylfaen" w:hAnsi="Sylfaen" w:cs="Sylfaen"/>
          <w:sz w:val="20"/>
          <w:lang w:val="ka-GE"/>
        </w:rPr>
        <w:t xml:space="preserve">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67E3274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en-US"/>
        </w:rPr>
        <w:t>4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0269B4">
        <w:rPr>
          <w:rFonts w:ascii="Sylfaen" w:hAnsi="Sylfaen" w:cs="Sylfaen"/>
          <w:sz w:val="20"/>
          <w:lang w:val="ka-GE"/>
        </w:rPr>
        <w:t xml:space="preserve">7 </w:t>
      </w:r>
      <w:r w:rsidR="0004454C">
        <w:rPr>
          <w:rFonts w:ascii="Sylfaen" w:hAnsi="Sylfaen" w:cs="Sylfaen"/>
          <w:sz w:val="20"/>
          <w:lang w:val="ka-GE"/>
        </w:rPr>
        <w:t xml:space="preserve"> მაისის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C099168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04454C">
        <w:rPr>
          <w:rFonts w:ascii="Sylfaen" w:hAnsi="Sylfaen" w:cs="Sylfaen"/>
          <w:sz w:val="20"/>
          <w:lang w:val="ka-GE"/>
        </w:rPr>
        <w:t>22</w:t>
      </w:r>
      <w:r w:rsidR="00C45743">
        <w:rPr>
          <w:rFonts w:ascii="Sylfaen" w:hAnsi="Sylfaen" w:cs="Sylfaen"/>
          <w:sz w:val="20"/>
          <w:lang w:val="ka-GE"/>
        </w:rPr>
        <w:t xml:space="preserve"> </w:t>
      </w:r>
      <w:r w:rsidR="008B4D4C">
        <w:rPr>
          <w:rFonts w:ascii="Sylfaen" w:hAnsi="Sylfaen" w:cs="Sylfaen"/>
          <w:sz w:val="20"/>
          <w:lang w:val="ka-GE"/>
        </w:rPr>
        <w:t>აპრილი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5FD14E84" w14:textId="20F1AFFA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5141EB">
        <w:rPr>
          <w:rFonts w:ascii="Sylfaen" w:hAnsi="Sylfaen" w:cs="Sylfaen"/>
          <w:sz w:val="20"/>
          <w:lang w:val="ka-GE"/>
        </w:rPr>
        <w:t xml:space="preserve">10 </w:t>
      </w:r>
      <w:r w:rsidR="0004454C">
        <w:rPr>
          <w:rFonts w:ascii="Sylfaen" w:hAnsi="Sylfaen" w:cs="Sylfaen"/>
          <w:sz w:val="20"/>
          <w:lang w:val="ka-GE"/>
        </w:rPr>
        <w:t xml:space="preserve">მაისი </w:t>
      </w:r>
      <w:r w:rsidR="008B4D4C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7BBE0DF8" w14:textId="46471569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</w:t>
      </w:r>
      <w:r w:rsidR="0004454C">
        <w:rPr>
          <w:rFonts w:ascii="Sylfaen" w:hAnsi="Sylfaen" w:cs="Sylfaen"/>
          <w:sz w:val="20"/>
          <w:lang w:val="ka-GE"/>
        </w:rPr>
        <w:t xml:space="preserve">15 </w:t>
      </w:r>
      <w:r w:rsidR="008B4D4C">
        <w:rPr>
          <w:rFonts w:ascii="Sylfaen" w:hAnsi="Sylfaen" w:cs="Sylfaen"/>
          <w:sz w:val="20"/>
          <w:lang w:val="ka-GE"/>
        </w:rPr>
        <w:t>მაისი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452AD223" w14:textId="169CE9FC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04454C">
        <w:rPr>
          <w:rFonts w:ascii="Sylfaen" w:hAnsi="Sylfaen" w:cs="Sylfaen"/>
          <w:sz w:val="20"/>
          <w:lang w:val="ka-GE"/>
        </w:rPr>
        <w:t>20</w:t>
      </w:r>
      <w:r w:rsidR="008B4D4C">
        <w:rPr>
          <w:rFonts w:ascii="Sylfaen" w:hAnsi="Sylfaen" w:cs="Sylfaen"/>
          <w:sz w:val="20"/>
          <w:lang w:val="ka-GE"/>
        </w:rPr>
        <w:t xml:space="preserve"> მაისი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9C50C49" w14:textId="77777777" w:rsidR="00C45743" w:rsidRDefault="00C4574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6B9534B8" w14:textId="77777777" w:rsidR="0004454C" w:rsidRDefault="0004454C" w:rsidP="0004454C">
      <w:pPr>
        <w:rPr>
          <w:rFonts w:ascii="Sylfaen" w:hAnsi="Sylfaen" w:cs="Sylfaen"/>
          <w:b/>
          <w:color w:val="000000" w:themeColor="text1"/>
          <w:sz w:val="20"/>
          <w:lang w:val="ka-GE"/>
        </w:rPr>
      </w:pPr>
    </w:p>
    <w:p w14:paraId="25DA5822" w14:textId="5EC66F06" w:rsidR="0004454C" w:rsidRDefault="0004454C" w:rsidP="0004454C">
      <w:pPr>
        <w:rPr>
          <w:rFonts w:ascii="Sylfaen" w:hAnsi="Sylfaen" w:cs="Sylfaen"/>
          <w:b/>
          <w:color w:val="000000" w:themeColor="text1"/>
          <w:sz w:val="20"/>
          <w:lang w:val="en-US"/>
        </w:rPr>
      </w:pPr>
      <w:proofErr w:type="spellStart"/>
      <w:r>
        <w:rPr>
          <w:rFonts w:ascii="Sylfaen" w:hAnsi="Sylfaen" w:cs="Sylfaen"/>
          <w:b/>
          <w:color w:val="000000" w:themeColor="text1"/>
          <w:sz w:val="20"/>
          <w:lang w:val="en-US"/>
        </w:rPr>
        <w:t>მოთხოვნები</w:t>
      </w:r>
      <w:proofErr w:type="spellEnd"/>
      <w:r>
        <w:rPr>
          <w:rFonts w:ascii="Sylfaen" w:hAnsi="Sylfaen" w:cs="Sylfaen"/>
          <w:b/>
          <w:color w:val="000000" w:themeColor="text1"/>
          <w:sz w:val="20"/>
          <w:lang w:val="en-US"/>
        </w:rPr>
        <w:t xml:space="preserve">: </w:t>
      </w:r>
    </w:p>
    <w:p w14:paraId="39685DA5" w14:textId="35220790" w:rsidR="0004454C" w:rsidRDefault="0004454C" w:rsidP="0004454C">
      <w:pPr>
        <w:pStyle w:val="ListParagraph"/>
        <w:numPr>
          <w:ilvl w:val="0"/>
          <w:numId w:val="23"/>
        </w:numPr>
        <w:rPr>
          <w:rFonts w:ascii="Sylfaen" w:hAnsi="Sylfaen" w:cs="Sylfaen"/>
          <w:b/>
          <w:color w:val="000000" w:themeColor="text1"/>
          <w:sz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ტენდერში მონაწილე კომპანიამ დანართი #1-ით უნდა წარმოადგინოს შემოთავაზება, რომელიც მოიცავს:</w:t>
      </w:r>
    </w:p>
    <w:p w14:paraId="4C02F5E5" w14:textId="0C1BE93E" w:rsidR="0004454C" w:rsidRPr="00500EB7" w:rsidRDefault="0004454C" w:rsidP="0004454C">
      <w:pPr>
        <w:pStyle w:val="ListParagraph"/>
        <w:numPr>
          <w:ilvl w:val="1"/>
          <w:numId w:val="23"/>
        </w:numPr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500EB7">
        <w:rPr>
          <w:rFonts w:ascii="Sylfaen" w:hAnsi="Sylfaen" w:cs="Sylfaen"/>
          <w:bCs/>
          <w:color w:val="000000" w:themeColor="text1"/>
          <w:sz w:val="20"/>
          <w:lang w:val="ka-GE"/>
        </w:rPr>
        <w:t>გეგმიური სერვისი</w:t>
      </w:r>
      <w:r w:rsidR="007A6101" w:rsidRPr="00500EB7">
        <w:rPr>
          <w:rFonts w:ascii="Sylfaen" w:hAnsi="Sylfaen" w:cs="Sylfaen"/>
          <w:bCs/>
          <w:color w:val="000000" w:themeColor="text1"/>
          <w:sz w:val="20"/>
          <w:lang w:val="ka-GE"/>
        </w:rPr>
        <w:t xml:space="preserve">  - ღირებულება, სერვისის დეტალური აღწერილობა, გრაფიკი</w:t>
      </w:r>
      <w:r w:rsidR="00500EB7">
        <w:rPr>
          <w:rFonts w:ascii="Sylfaen" w:hAnsi="Sylfaen" w:cs="Sylfaen"/>
          <w:bCs/>
          <w:color w:val="000000" w:themeColor="text1"/>
          <w:sz w:val="20"/>
          <w:lang w:val="ka-GE"/>
        </w:rPr>
        <w:t xml:space="preserve">. (დანართი #1, </w:t>
      </w:r>
      <w:r w:rsidR="00500EB7">
        <w:rPr>
          <w:rFonts w:ascii="Sylfaen" w:hAnsi="Sylfaen" w:cs="Sylfaen"/>
          <w:bCs/>
          <w:color w:val="000000" w:themeColor="text1"/>
          <w:sz w:val="20"/>
          <w:lang w:val="en-US"/>
        </w:rPr>
        <w:t>Sheet #1)</w:t>
      </w:r>
    </w:p>
    <w:p w14:paraId="50F64519" w14:textId="4E2C6270" w:rsidR="0004454C" w:rsidRPr="00500EB7" w:rsidRDefault="007A6101" w:rsidP="00D4351A">
      <w:pPr>
        <w:pStyle w:val="ListParagraph"/>
        <w:numPr>
          <w:ilvl w:val="1"/>
          <w:numId w:val="23"/>
        </w:numPr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500EB7">
        <w:rPr>
          <w:rFonts w:ascii="Sylfaen" w:hAnsi="Sylfaen" w:cs="Sylfaen"/>
          <w:bCs/>
          <w:color w:val="000000" w:themeColor="text1"/>
          <w:sz w:val="20"/>
          <w:lang w:val="ka-GE"/>
        </w:rPr>
        <w:t xml:space="preserve">ევექსის ქსელში არსებული აგრეგატების სერვისის საშუალო ღირებულება </w:t>
      </w:r>
      <w:r w:rsidR="00500EB7">
        <w:rPr>
          <w:rFonts w:ascii="Sylfaen" w:hAnsi="Sylfaen" w:cs="Sylfaen"/>
          <w:bCs/>
          <w:color w:val="000000" w:themeColor="text1"/>
          <w:sz w:val="20"/>
          <w:lang w:val="ka-GE"/>
        </w:rPr>
        <w:t xml:space="preserve">(დანართი #1, </w:t>
      </w:r>
      <w:r w:rsidR="00500EB7">
        <w:rPr>
          <w:rFonts w:ascii="Sylfaen" w:hAnsi="Sylfaen" w:cs="Sylfaen"/>
          <w:bCs/>
          <w:color w:val="000000" w:themeColor="text1"/>
          <w:sz w:val="20"/>
          <w:lang w:val="en-US"/>
        </w:rPr>
        <w:t>Sheet #2)</w:t>
      </w:r>
    </w:p>
    <w:p w14:paraId="1E4C0FA7" w14:textId="0EBDEF38" w:rsidR="007A6101" w:rsidRPr="00500EB7" w:rsidRDefault="007A6101" w:rsidP="00D4351A">
      <w:pPr>
        <w:pStyle w:val="ListParagraph"/>
        <w:numPr>
          <w:ilvl w:val="1"/>
          <w:numId w:val="23"/>
        </w:numPr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500EB7">
        <w:rPr>
          <w:rFonts w:ascii="Sylfaen" w:hAnsi="Sylfaen" w:cs="Sylfaen"/>
          <w:bCs/>
          <w:color w:val="000000" w:themeColor="text1"/>
          <w:sz w:val="20"/>
          <w:lang w:val="ka-GE"/>
        </w:rPr>
        <w:t>სეზონური გადართვები - ღირებულება წარმოდგენილი უნდა იყოს კლინიკების ჭრილში</w:t>
      </w:r>
      <w:r w:rsidR="00500EB7">
        <w:rPr>
          <w:rFonts w:ascii="Sylfaen" w:hAnsi="Sylfaen" w:cs="Sylfaen"/>
          <w:bCs/>
          <w:color w:val="000000" w:themeColor="text1"/>
          <w:sz w:val="20"/>
          <w:lang w:val="ka-GE"/>
        </w:rPr>
        <w:t xml:space="preserve"> (დანართი #1, </w:t>
      </w:r>
      <w:r w:rsidR="00500EB7">
        <w:rPr>
          <w:rFonts w:ascii="Sylfaen" w:hAnsi="Sylfaen" w:cs="Sylfaen"/>
          <w:bCs/>
          <w:color w:val="000000" w:themeColor="text1"/>
          <w:sz w:val="20"/>
          <w:lang w:val="en-US"/>
        </w:rPr>
        <w:t>Sheet #3)</w:t>
      </w:r>
    </w:p>
    <w:p w14:paraId="7C191C19" w14:textId="2BB67B74" w:rsidR="007A6101" w:rsidRPr="00500EB7" w:rsidRDefault="007A6101" w:rsidP="00D4351A">
      <w:pPr>
        <w:pStyle w:val="ListParagraph"/>
        <w:numPr>
          <w:ilvl w:val="1"/>
          <w:numId w:val="23"/>
        </w:numPr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500EB7">
        <w:rPr>
          <w:rFonts w:ascii="Sylfaen" w:hAnsi="Sylfaen" w:cs="Sylfaen"/>
          <w:bCs/>
          <w:color w:val="000000" w:themeColor="text1"/>
          <w:sz w:val="20"/>
          <w:lang w:val="ka-GE"/>
        </w:rPr>
        <w:t>ინციდენტების განფასება</w:t>
      </w:r>
      <w:r w:rsidR="00500EB7">
        <w:rPr>
          <w:rFonts w:ascii="Sylfaen" w:hAnsi="Sylfaen" w:cs="Sylfaen"/>
          <w:bCs/>
          <w:color w:val="000000" w:themeColor="text1"/>
          <w:sz w:val="20"/>
          <w:lang w:val="ka-GE"/>
        </w:rPr>
        <w:t xml:space="preserve"> (დანართი #1, </w:t>
      </w:r>
      <w:r w:rsidR="00500EB7">
        <w:rPr>
          <w:rFonts w:ascii="Sylfaen" w:hAnsi="Sylfaen" w:cs="Sylfaen"/>
          <w:bCs/>
          <w:color w:val="000000" w:themeColor="text1"/>
          <w:sz w:val="20"/>
          <w:lang w:val="en-US"/>
        </w:rPr>
        <w:t>Sheet #4)</w:t>
      </w:r>
    </w:p>
    <w:p w14:paraId="322B47C7" w14:textId="2E835FFC" w:rsidR="007A6101" w:rsidRDefault="007A6101" w:rsidP="007A6101">
      <w:pPr>
        <w:pStyle w:val="ListParagraph"/>
        <w:numPr>
          <w:ilvl w:val="0"/>
          <w:numId w:val="23"/>
        </w:numPr>
        <w:rPr>
          <w:rFonts w:ascii="Sylfaen" w:hAnsi="Sylfaen" w:cs="Sylfaen"/>
          <w:b/>
          <w:color w:val="000000" w:themeColor="text1"/>
          <w:sz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lang w:val="ka-GE"/>
        </w:rPr>
        <w:t>ევექსის ქსელში არსებული კლინიკების დიაგნოსტიკა დაექვემდებაროს შემდეგ ლიმიტებს:</w:t>
      </w:r>
    </w:p>
    <w:p w14:paraId="6393C1F2" w14:textId="7CE341B2" w:rsidR="007A6101" w:rsidRPr="00500EB7" w:rsidRDefault="007A6101" w:rsidP="007A6101">
      <w:pPr>
        <w:pStyle w:val="ListParagraph"/>
        <w:numPr>
          <w:ilvl w:val="0"/>
          <w:numId w:val="24"/>
        </w:numPr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500EB7">
        <w:rPr>
          <w:rFonts w:ascii="Sylfaen" w:hAnsi="Sylfaen" w:cs="Sylfaen"/>
          <w:bCs/>
          <w:color w:val="000000" w:themeColor="text1"/>
          <w:sz w:val="20"/>
          <w:lang w:val="ka-GE"/>
        </w:rPr>
        <w:t xml:space="preserve">თბილისში არსებულ კლინიკებში, თითო ლოკაციაზე მოხდეს თვეში 2 უსასყიდლო დიაგნოსტიკა, </w:t>
      </w:r>
      <w:r w:rsidR="00500EB7" w:rsidRPr="00500EB7">
        <w:rPr>
          <w:rFonts w:ascii="Sylfaen" w:hAnsi="Sylfaen" w:cs="Sylfaen"/>
          <w:bCs/>
          <w:color w:val="000000" w:themeColor="text1"/>
          <w:sz w:val="20"/>
          <w:lang w:val="ka-GE"/>
        </w:rPr>
        <w:t>2-ზე მეტი დიაგნოსტიკის შემთხვევაში, დიაგნოსტიკის სტანდარტული ფასი წარმოდგენილი უნდა იყოს დანართი #1-ში</w:t>
      </w:r>
    </w:p>
    <w:p w14:paraId="61F7294C" w14:textId="6496E864" w:rsidR="00500EB7" w:rsidRPr="00500EB7" w:rsidRDefault="00500EB7" w:rsidP="00500EB7">
      <w:pPr>
        <w:pStyle w:val="ListParagraph"/>
        <w:numPr>
          <w:ilvl w:val="0"/>
          <w:numId w:val="24"/>
        </w:numPr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500EB7">
        <w:rPr>
          <w:rFonts w:ascii="Sylfaen" w:hAnsi="Sylfaen" w:cs="Sylfaen"/>
          <w:bCs/>
          <w:color w:val="000000" w:themeColor="text1"/>
          <w:sz w:val="20"/>
          <w:lang w:val="ka-GE"/>
        </w:rPr>
        <w:t>რეგიონებში არსებულ კლინიკებში, თითო ლოკაციაზე მოხდეს თვეში 1 უსასყიდლო დიაგნოსტიკა, 1- ზე მეტი დიაგნოსტიკის შემთხვევაში, დიაგნოსტიკის სტანდარტული ფასი წარმოდგენილი უნდა იყოს დანართი #1-ში</w:t>
      </w:r>
    </w:p>
    <w:p w14:paraId="2CEFE4FC" w14:textId="35D672F2" w:rsidR="00500EB7" w:rsidRDefault="00500EB7" w:rsidP="00500EB7">
      <w:pPr>
        <w:pStyle w:val="ListParagraph"/>
        <w:numPr>
          <w:ilvl w:val="0"/>
          <w:numId w:val="25"/>
        </w:numPr>
        <w:rPr>
          <w:rFonts w:ascii="Sylfaen" w:hAnsi="Sylfaen" w:cs="Sylfaen"/>
          <w:b/>
          <w:color w:val="000000" w:themeColor="text1"/>
          <w:sz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lang w:val="en-US"/>
        </w:rPr>
        <w:t>SLA-</w:t>
      </w:r>
      <w:r>
        <w:rPr>
          <w:rFonts w:ascii="Sylfaen" w:hAnsi="Sylfaen" w:cs="Sylfaen"/>
          <w:b/>
          <w:color w:val="000000" w:themeColor="text1"/>
          <w:sz w:val="20"/>
          <w:lang w:val="ka-GE"/>
        </w:rPr>
        <w:t>რომელიც გავრცელდება კონტრაქტში</w:t>
      </w:r>
    </w:p>
    <w:p w14:paraId="6EDC9849" w14:textId="1B34C888" w:rsidR="00500EB7" w:rsidRDefault="00500EB7" w:rsidP="00500EB7">
      <w:pPr>
        <w:pStyle w:val="ListParagraph"/>
        <w:ind w:left="1080"/>
        <w:rPr>
          <w:rFonts w:ascii="Sylfaen" w:hAnsi="Sylfaen" w:cs="Sylfaen"/>
          <w:b/>
          <w:color w:val="000000" w:themeColor="text1"/>
          <w:sz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lang w:val="ka-GE"/>
        </w:rPr>
        <w:t>ჩამოყალიბდება დეფინიცია სასწრაფო და სტანდარტული გამოძახებებისა, რომელზეც გავრცელდება შემდეგი პირობები:</w:t>
      </w:r>
    </w:p>
    <w:p w14:paraId="3ADDDE9D" w14:textId="77777777" w:rsidR="00500EB7" w:rsidRDefault="00500EB7" w:rsidP="00500EB7">
      <w:pPr>
        <w:pStyle w:val="ListParagraph"/>
        <w:numPr>
          <w:ilvl w:val="0"/>
          <w:numId w:val="27"/>
        </w:numPr>
        <w:rPr>
          <w:rFonts w:ascii="Sylfaen" w:hAnsi="Sylfaen" w:cs="Sylfaen"/>
          <w:b/>
          <w:color w:val="000000" w:themeColor="text1"/>
          <w:sz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lang w:val="ka-GE"/>
        </w:rPr>
        <w:t>სასწრაფო</w:t>
      </w:r>
    </w:p>
    <w:p w14:paraId="6A808491" w14:textId="117E71BB" w:rsidR="00500EB7" w:rsidRPr="00500EB7" w:rsidRDefault="00500EB7" w:rsidP="00500EB7">
      <w:pPr>
        <w:ind w:left="1440"/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500EB7">
        <w:rPr>
          <w:rFonts w:ascii="Sylfaen" w:hAnsi="Sylfaen" w:cs="Sylfaen"/>
          <w:bCs/>
          <w:color w:val="000000" w:themeColor="text1"/>
          <w:sz w:val="20"/>
          <w:lang w:val="ka-GE"/>
        </w:rPr>
        <w:t>თბილისში შეტყობინებიდან არაუგვიანეს 3-სთ გამოცხადება დიაგნოსტიკაზე. დიაგნოსტიკის შემდეგ დაუყოვნებლივ ეცნობოს დამკვეთს აღმოფხვრაზე. რეგიონში - შეტყობინებიდან არაუგვიანეს 24სთ</w:t>
      </w:r>
    </w:p>
    <w:p w14:paraId="7A40042E" w14:textId="77777777" w:rsidR="00500EB7" w:rsidRPr="00500EB7" w:rsidRDefault="00500EB7" w:rsidP="00500EB7">
      <w:pPr>
        <w:ind w:left="1440"/>
        <w:rPr>
          <w:rFonts w:ascii="Sylfaen" w:hAnsi="Sylfaen" w:cs="Sylfaen"/>
          <w:bCs/>
          <w:color w:val="000000" w:themeColor="text1"/>
          <w:sz w:val="20"/>
          <w:lang w:val="ka-GE"/>
        </w:rPr>
      </w:pPr>
    </w:p>
    <w:p w14:paraId="463652D9" w14:textId="399014EB" w:rsidR="00500EB7" w:rsidRPr="00500EB7" w:rsidRDefault="00500EB7" w:rsidP="00500EB7">
      <w:pPr>
        <w:ind w:left="1440"/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500EB7">
        <w:rPr>
          <w:rFonts w:ascii="Sylfaen" w:hAnsi="Sylfaen" w:cs="Sylfaen"/>
          <w:bCs/>
          <w:color w:val="000000" w:themeColor="text1"/>
          <w:sz w:val="20"/>
          <w:lang w:val="ka-GE"/>
        </w:rPr>
        <w:t xml:space="preserve">რეგიონში  შეტყობინებიდან არაუგვიანეს 24-სთ გამოცხადება დიაგნოსტიკაზე. დიაგნოსტიკის შემდეგ დაუყოვნებლივ ეცნობოს დამკვეთს აღმოფხვრაზე. </w:t>
      </w:r>
    </w:p>
    <w:p w14:paraId="1D2EA0B9" w14:textId="73001762" w:rsidR="00500EB7" w:rsidRDefault="00500EB7" w:rsidP="00500EB7">
      <w:pPr>
        <w:pStyle w:val="ListParagraph"/>
        <w:numPr>
          <w:ilvl w:val="0"/>
          <w:numId w:val="27"/>
        </w:numPr>
        <w:rPr>
          <w:rFonts w:ascii="Sylfaen" w:hAnsi="Sylfaen" w:cs="Sylfaen"/>
          <w:b/>
          <w:color w:val="000000" w:themeColor="text1"/>
          <w:sz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lang w:val="ka-GE"/>
        </w:rPr>
        <w:t>სტანდარტული</w:t>
      </w:r>
    </w:p>
    <w:p w14:paraId="32602C84" w14:textId="77777777" w:rsidR="00500EB7" w:rsidRPr="00500EB7" w:rsidRDefault="00500EB7" w:rsidP="00500EB7">
      <w:pPr>
        <w:ind w:left="1440"/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500EB7">
        <w:rPr>
          <w:rFonts w:ascii="Sylfaen" w:hAnsi="Sylfaen" w:cs="Sylfaen"/>
          <w:bCs/>
          <w:color w:val="000000" w:themeColor="text1"/>
          <w:sz w:val="20"/>
          <w:lang w:val="ka-GE"/>
        </w:rPr>
        <w:t xml:space="preserve">თბილისში შეტყობინებიდან არაუგვიანეს 24-სთ გამოცხადება დიაგნოსტიკაზე. დიაგნოსტიკის შემდეგ დაუყოვნებლივ ეცნობოს დამკვეთს აღმოფხვრაზე. </w:t>
      </w:r>
    </w:p>
    <w:p w14:paraId="2E8B9632" w14:textId="77777777" w:rsidR="00500EB7" w:rsidRPr="00500EB7" w:rsidRDefault="00500EB7" w:rsidP="00500EB7">
      <w:pPr>
        <w:ind w:left="1440"/>
        <w:rPr>
          <w:rFonts w:ascii="Sylfaen" w:hAnsi="Sylfaen" w:cs="Sylfaen"/>
          <w:bCs/>
          <w:color w:val="000000" w:themeColor="text1"/>
          <w:sz w:val="20"/>
          <w:lang w:val="ka-GE"/>
        </w:rPr>
      </w:pPr>
    </w:p>
    <w:p w14:paraId="126FD2F9" w14:textId="5674C554" w:rsidR="00500EB7" w:rsidRPr="00500EB7" w:rsidRDefault="00500EB7" w:rsidP="00500EB7">
      <w:pPr>
        <w:ind w:left="1440"/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500EB7">
        <w:rPr>
          <w:rFonts w:ascii="Sylfaen" w:hAnsi="Sylfaen" w:cs="Sylfaen"/>
          <w:bCs/>
          <w:color w:val="000000" w:themeColor="text1"/>
          <w:sz w:val="20"/>
          <w:lang w:val="ka-GE"/>
        </w:rPr>
        <w:t>რეგიონში - შეტყობინებიდან არაუგვიანეს 72-სთ გამოცხადება დიაგნოსტიკაზე. დიაგნოსტიკის შემდეგ დაუყოვნებლივ ეცნობოს დამკვეთს აღმოფხვრაზე.</w:t>
      </w:r>
    </w:p>
    <w:p w14:paraId="628233DB" w14:textId="77777777" w:rsidR="00500EB7" w:rsidRDefault="00500EB7" w:rsidP="00500EB7">
      <w:pPr>
        <w:pStyle w:val="ListParagraph"/>
        <w:ind w:left="1080"/>
        <w:rPr>
          <w:rFonts w:ascii="Sylfaen" w:hAnsi="Sylfaen" w:cs="Sylfaen"/>
          <w:b/>
          <w:color w:val="000000" w:themeColor="text1"/>
          <w:sz w:val="20"/>
          <w:lang w:val="ka-GE"/>
        </w:rPr>
      </w:pPr>
    </w:p>
    <w:p w14:paraId="6DFD6D47" w14:textId="77777777" w:rsidR="00500EB7" w:rsidRPr="00500EB7" w:rsidRDefault="00500EB7" w:rsidP="00500EB7">
      <w:pPr>
        <w:rPr>
          <w:rFonts w:ascii="Sylfaen" w:hAnsi="Sylfaen" w:cs="Sylfaen"/>
          <w:b/>
          <w:color w:val="000000" w:themeColor="text1"/>
          <w:sz w:val="20"/>
          <w:lang w:val="ka-GE"/>
        </w:rPr>
      </w:pPr>
    </w:p>
    <w:p w14:paraId="55F031D0" w14:textId="7F2A8F1F" w:rsidR="00702233" w:rsidRDefault="00500EB7" w:rsidP="00702233">
      <w:pPr>
        <w:rPr>
          <w:rFonts w:ascii="Sylfaen" w:hAnsi="Sylfaen" w:cs="Sylfaen"/>
          <w:b/>
          <w:color w:val="000000" w:themeColor="text1"/>
          <w:sz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დამატებითი </w:t>
      </w:r>
      <w:r w:rsidR="00702233">
        <w:rPr>
          <w:rFonts w:ascii="Sylfaen" w:hAnsi="Sylfaen" w:cs="Sylfaen"/>
          <w:b/>
          <w:color w:val="000000" w:themeColor="text1"/>
          <w:sz w:val="20"/>
          <w:lang w:val="ka-GE"/>
        </w:rPr>
        <w:t>მოთხოვნები:</w:t>
      </w:r>
    </w:p>
    <w:p w14:paraId="03D20141" w14:textId="77777777" w:rsidR="00500EB7" w:rsidRDefault="00500EB7" w:rsidP="00702233">
      <w:pPr>
        <w:rPr>
          <w:rFonts w:ascii="Sylfaen" w:hAnsi="Sylfaen" w:cs="Sylfaen"/>
          <w:b/>
          <w:color w:val="000000" w:themeColor="text1"/>
          <w:sz w:val="20"/>
          <w:lang w:val="ka-GE"/>
        </w:rPr>
      </w:pPr>
    </w:p>
    <w:p w14:paraId="1CFCA3A8" w14:textId="6667A035" w:rsidR="00702233" w:rsidRPr="00500EB7" w:rsidRDefault="00702233" w:rsidP="00702233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500EB7">
        <w:rPr>
          <w:rFonts w:ascii="Sylfaen" w:hAnsi="Sylfaen" w:cs="Sylfaen"/>
          <w:sz w:val="20"/>
          <w:lang w:val="ka-GE"/>
        </w:rPr>
        <w:t>გათბოა-გაგრილების მომსახურე პერსონალი აღჭურვილი უნდა იქნას შრომის კანონმდებლობით და უსაფრთხოების ნორმების შესაბამისად;</w:t>
      </w:r>
    </w:p>
    <w:p w14:paraId="7B68414D" w14:textId="4F9C87D3" w:rsidR="00702233" w:rsidRPr="00500EB7" w:rsidRDefault="00702233" w:rsidP="00702233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500EB7">
        <w:rPr>
          <w:rFonts w:ascii="Sylfaen" w:hAnsi="Sylfaen" w:cs="Sylfaen"/>
          <w:sz w:val="20"/>
          <w:lang w:val="ka-GE"/>
        </w:rPr>
        <w:t xml:space="preserve"> გათბობა-გაგრილების მომსახურე პერსონალი უნდა ფლობდეს სახელმწიფოს მიერ გაცემულ სერთფიკატს;</w:t>
      </w:r>
    </w:p>
    <w:p w14:paraId="11F134CB" w14:textId="77777777" w:rsidR="008B4D4C" w:rsidRDefault="008B4D4C" w:rsidP="00BE6E47">
      <w:pPr>
        <w:rPr>
          <w:rFonts w:ascii="Sylfaen" w:hAnsi="Sylfaen" w:cs="Sylfaen"/>
          <w:b/>
          <w:sz w:val="20"/>
          <w:lang w:val="ka-GE"/>
        </w:rPr>
      </w:pPr>
    </w:p>
    <w:p w14:paraId="59BA29DD" w14:textId="4EA32549" w:rsidR="008B4D4C" w:rsidRPr="00FF33A0" w:rsidRDefault="008B4D4C" w:rsidP="0075122E">
      <w:pPr>
        <w:pStyle w:val="ListParagraph"/>
        <w:numPr>
          <w:ilvl w:val="0"/>
          <w:numId w:val="19"/>
        </w:numPr>
        <w:rPr>
          <w:rFonts w:ascii="Sylfaen" w:hAnsi="Sylfaen" w:cs="Sylfaen"/>
          <w:sz w:val="20"/>
          <w:lang w:val="ka-GE"/>
        </w:rPr>
      </w:pPr>
      <w:r w:rsidRPr="0075122E">
        <w:rPr>
          <w:rFonts w:ascii="Sylfaen" w:hAnsi="Sylfaen" w:cs="Sylfaen"/>
          <w:b/>
          <w:sz w:val="20"/>
          <w:lang w:val="ka-GE"/>
        </w:rPr>
        <w:lastRenderedPageBreak/>
        <w:t>ევექსის ქსელში არსებული გათბობა-გაგრილების სისტემების ჩამონათვალი იხილეთ დანართი #2-ში</w:t>
      </w:r>
    </w:p>
    <w:p w14:paraId="14FB433E" w14:textId="77777777" w:rsidR="00FF33A0" w:rsidRPr="00FF33A0" w:rsidRDefault="00FF33A0" w:rsidP="00FF33A0">
      <w:pPr>
        <w:pStyle w:val="ListParagraph"/>
        <w:rPr>
          <w:rFonts w:ascii="Sylfaen" w:hAnsi="Sylfaen" w:cs="Sylfaen"/>
          <w:sz w:val="20"/>
          <w:lang w:val="ka-GE"/>
        </w:rPr>
      </w:pPr>
    </w:p>
    <w:p w14:paraId="71BDAF4E" w14:textId="5548F5B8" w:rsidR="00FF33A0" w:rsidRDefault="00FF33A0" w:rsidP="00FF33A0">
      <w:pPr>
        <w:ind w:left="360"/>
        <w:rPr>
          <w:rFonts w:ascii="Sylfaen" w:hAnsi="Sylfaen" w:cs="Sylfaen"/>
          <w:b/>
          <w:bCs/>
          <w:sz w:val="20"/>
          <w:lang w:val="ka-GE"/>
        </w:rPr>
      </w:pPr>
      <w:r w:rsidRPr="00FF33A0">
        <w:rPr>
          <w:rFonts w:ascii="Sylfaen" w:hAnsi="Sylfaen" w:cs="Sylfaen"/>
          <w:b/>
          <w:bCs/>
          <w:sz w:val="20"/>
          <w:lang w:val="ka-GE"/>
        </w:rPr>
        <w:t xml:space="preserve">არსებული რეგიონები: </w:t>
      </w:r>
    </w:p>
    <w:p w14:paraId="44493493" w14:textId="77777777" w:rsidR="00FF33A0" w:rsidRPr="00FF33A0" w:rsidRDefault="00FF33A0" w:rsidP="00FF33A0">
      <w:pPr>
        <w:ind w:left="360"/>
        <w:rPr>
          <w:rFonts w:ascii="Sylfaen" w:hAnsi="Sylfaen" w:cs="Sylfaen"/>
          <w:b/>
          <w:bCs/>
          <w:sz w:val="20"/>
          <w:lang w:val="ka-GE"/>
        </w:rPr>
      </w:pPr>
    </w:p>
    <w:p w14:paraId="0F15A00F" w14:textId="1E3645F3" w:rsidR="00FF33A0" w:rsidRDefault="00FF33A0" w:rsidP="00FF33A0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ზუგდიდი</w:t>
      </w:r>
    </w:p>
    <w:p w14:paraId="4091D7C7" w14:textId="03CCB95C" w:rsidR="00FF33A0" w:rsidRDefault="00FF33A0" w:rsidP="00FF33A0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ბათუმი</w:t>
      </w:r>
    </w:p>
    <w:p w14:paraId="0BF29A6D" w14:textId="2D9514A6" w:rsidR="00FF33A0" w:rsidRDefault="00FF33A0" w:rsidP="00FF33A0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ჩაქვი</w:t>
      </w:r>
    </w:p>
    <w:p w14:paraId="55A41517" w14:textId="5D3175AF" w:rsidR="00FF33A0" w:rsidRDefault="00FF33A0" w:rsidP="00FF33A0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ქუთაისი</w:t>
      </w:r>
    </w:p>
    <w:p w14:paraId="434D2A87" w14:textId="4850A63D" w:rsidR="00FF33A0" w:rsidRPr="00FF33A0" w:rsidRDefault="00FF33A0" w:rsidP="00FF33A0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თბილისი</w:t>
      </w:r>
    </w:p>
    <w:p w14:paraId="057D027C" w14:textId="3ABB2556" w:rsidR="001B4D85" w:rsidRDefault="001B4D85" w:rsidP="00FF33A0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36CF0D66" w14:textId="66739542" w:rsidR="00FF33A0" w:rsidRPr="00FF33A0" w:rsidRDefault="00FF33A0" w:rsidP="00FF33A0">
      <w:pPr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  <w:r>
        <w:rPr>
          <w:rFonts w:ascii="Sylfaen" w:hAnsi="Sylfaen" w:cs="Sylfaen"/>
          <w:sz w:val="20"/>
          <w:u w:val="single"/>
          <w:lang w:val="ka-GE"/>
        </w:rPr>
        <w:t>*კონტრაქტის ფარგლებში შესაძლოა დაემატოს სხვა რეგიონიც</w:t>
      </w:r>
    </w:p>
    <w:p w14:paraId="29EE4B01" w14:textId="403994E0" w:rsidR="00A92E91" w:rsidRPr="00C45743" w:rsidRDefault="001B4D8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7C870297" w:rsidR="000D0A84" w:rsidRDefault="000D0A84" w:rsidP="00C45743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lastRenderedPageBreak/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00008BD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141EB">
        <w:rPr>
          <w:rFonts w:ascii="Sylfaen" w:hAnsi="Sylfaen" w:cs="Sylfaen"/>
          <w:b/>
          <w:sz w:val="20"/>
          <w:lang w:val="ka-GE"/>
        </w:rPr>
        <w:t xml:space="preserve">10 </w:t>
      </w:r>
      <w:r w:rsidR="00500EB7">
        <w:rPr>
          <w:rFonts w:ascii="Sylfaen" w:hAnsi="Sylfaen" w:cs="Sylfaen"/>
          <w:b/>
          <w:sz w:val="20"/>
          <w:lang w:val="ka-GE"/>
        </w:rPr>
        <w:t xml:space="preserve">მაისის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62A97B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87FDF" w:rsidRPr="003B00B7">
          <w:rPr>
            <w:rStyle w:val="Hyperlink"/>
            <w:rFonts w:ascii="Sylfaen" w:hAnsi="Sylfaen" w:cs="Sylfaen"/>
            <w:sz w:val="20"/>
            <w:lang w:val="en-US"/>
          </w:rPr>
          <w:t>mgikoshvili@evex.ge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0917" w14:textId="77777777" w:rsidR="00FE4447" w:rsidRDefault="00FE4447">
      <w:r>
        <w:separator/>
      </w:r>
    </w:p>
  </w:endnote>
  <w:endnote w:type="continuationSeparator" w:id="0">
    <w:p w14:paraId="3490412D" w14:textId="77777777" w:rsidR="00FE4447" w:rsidRDefault="00FE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Algeti">
    <w:altName w:val="Sylfaen"/>
    <w:panose1 w:val="020B0604020202020204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426A" w14:textId="77777777" w:rsidR="00FE4447" w:rsidRDefault="00FE4447">
      <w:r>
        <w:separator/>
      </w:r>
    </w:p>
  </w:footnote>
  <w:footnote w:type="continuationSeparator" w:id="0">
    <w:p w14:paraId="1EDEDB37" w14:textId="77777777" w:rsidR="00FE4447" w:rsidRDefault="00FE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4A37E0E6" w:rsidR="00FD5B9D" w:rsidRPr="00C45743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 xml:space="preserve">სს ევექსი 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C45743">
      <w:rPr>
        <w:rFonts w:ascii="BPG Algeti" w:hAnsi="BPG Algeti" w:cs="BPG Algeti"/>
        <w:b/>
        <w:bCs/>
        <w:noProof/>
        <w:color w:val="000000"/>
        <w:sz w:val="20"/>
      </w:rPr>
      <w:drawing>
        <wp:inline distT="0" distB="0" distL="0" distR="0" wp14:anchorId="5CBBAA80" wp14:editId="2688CD43">
          <wp:extent cx="1276350" cy="517142"/>
          <wp:effectExtent l="0" t="0" r="0" b="0"/>
          <wp:docPr id="2143515216" name="Picture 1" descr="A number and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number and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20" cy="52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E1A1F" w14:textId="17CB8468" w:rsidR="00C45743" w:rsidRPr="008B4D4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8B4D4C">
      <w:rPr>
        <w:rFonts w:ascii="Sylfaen" w:hAnsi="Sylfaen"/>
        <w:lang w:val="ka-GE"/>
      </w:rPr>
      <w:t xml:space="preserve"> </w:t>
    </w:r>
    <w:r w:rsidR="008B4D4C">
      <w:rPr>
        <w:rFonts w:ascii="Sylfaen" w:hAnsi="Sylfaen"/>
        <w:b/>
        <w:lang w:val="ka-GE"/>
      </w:rPr>
      <w:t>გათბობა-გაგრილების სისტემების</w:t>
    </w:r>
    <w:r w:rsidR="0075122E">
      <w:rPr>
        <w:rFonts w:ascii="Sylfaen" w:hAnsi="Sylfaen"/>
        <w:b/>
        <w:lang w:val="ka-GE"/>
      </w:rPr>
      <w:t xml:space="preserve"> გეგმიური და არა-გეგმიური </w:t>
    </w:r>
    <w:r w:rsidR="008B4D4C">
      <w:rPr>
        <w:rFonts w:ascii="Sylfaen" w:hAnsi="Sylfaen"/>
        <w:b/>
        <w:lang w:val="ka-GE"/>
      </w:rPr>
      <w:t>სერვისი</w:t>
    </w:r>
  </w:p>
  <w:p w14:paraId="60D72C32" w14:textId="2A29AD9E" w:rsidR="00D84493" w:rsidRDefault="00D84493">
    <w:pPr>
      <w:pStyle w:val="Header"/>
      <w:rPr>
        <w:rFonts w:ascii="Sylfaen" w:hAnsi="Sylfaen"/>
        <w:lang w:val="en-US"/>
      </w:rPr>
    </w:pP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E85"/>
    <w:multiLevelType w:val="hybridMultilevel"/>
    <w:tmpl w:val="8370BF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C2EF5"/>
    <w:multiLevelType w:val="hybridMultilevel"/>
    <w:tmpl w:val="5132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56221"/>
    <w:multiLevelType w:val="hybridMultilevel"/>
    <w:tmpl w:val="0B52AF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A6D1E36"/>
    <w:multiLevelType w:val="hybridMultilevel"/>
    <w:tmpl w:val="728490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044D"/>
    <w:multiLevelType w:val="hybridMultilevel"/>
    <w:tmpl w:val="7D8275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5385B"/>
    <w:multiLevelType w:val="hybridMultilevel"/>
    <w:tmpl w:val="700AB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D56F3"/>
    <w:multiLevelType w:val="hybridMultilevel"/>
    <w:tmpl w:val="CBDC58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E24655"/>
    <w:multiLevelType w:val="hybridMultilevel"/>
    <w:tmpl w:val="8C8C6C48"/>
    <w:lvl w:ilvl="0" w:tplc="A386F83A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5CAC"/>
    <w:multiLevelType w:val="hybridMultilevel"/>
    <w:tmpl w:val="FF3E99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7"/>
  </w:num>
  <w:num w:numId="5">
    <w:abstractNumId w:val="2"/>
  </w:num>
  <w:num w:numId="6">
    <w:abstractNumId w:val="22"/>
  </w:num>
  <w:num w:numId="7">
    <w:abstractNumId w:val="11"/>
  </w:num>
  <w:num w:numId="8">
    <w:abstractNumId w:val="18"/>
  </w:num>
  <w:num w:numId="9">
    <w:abstractNumId w:val="8"/>
  </w:num>
  <w:num w:numId="10">
    <w:abstractNumId w:val="9"/>
  </w:num>
  <w:num w:numId="11">
    <w:abstractNumId w:val="1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24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0"/>
  </w:num>
  <w:num w:numId="23">
    <w:abstractNumId w:val="12"/>
  </w:num>
  <w:num w:numId="24">
    <w:abstractNumId w:val="17"/>
  </w:num>
  <w:num w:numId="25">
    <w:abstractNumId w:val="10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9B4"/>
    <w:rsid w:val="00026CB2"/>
    <w:rsid w:val="00031D62"/>
    <w:rsid w:val="00031FE4"/>
    <w:rsid w:val="00032C3B"/>
    <w:rsid w:val="0004454C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0EB7"/>
    <w:rsid w:val="00504FFA"/>
    <w:rsid w:val="00511C15"/>
    <w:rsid w:val="00513020"/>
    <w:rsid w:val="005141EB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49E7"/>
    <w:rsid w:val="006F54AA"/>
    <w:rsid w:val="00702233"/>
    <w:rsid w:val="00704AB1"/>
    <w:rsid w:val="0075122E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A6101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4D4C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3088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42BA7"/>
    <w:rsid w:val="00A50D8F"/>
    <w:rsid w:val="00A63FDD"/>
    <w:rsid w:val="00A65F36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5743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2880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B11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A5F84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A6578"/>
    <w:rsid w:val="00FB4C9E"/>
    <w:rsid w:val="00FC7EA2"/>
    <w:rsid w:val="00FD1B21"/>
    <w:rsid w:val="00FD3F31"/>
    <w:rsid w:val="00FD53E1"/>
    <w:rsid w:val="00FD5B9D"/>
    <w:rsid w:val="00FD6B5B"/>
    <w:rsid w:val="00FE3AC3"/>
    <w:rsid w:val="00FE4447"/>
    <w:rsid w:val="00FE44AB"/>
    <w:rsid w:val="00FF2280"/>
    <w:rsid w:val="00FF33A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ikoshvili@evex.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94C.97CB7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12</cp:revision>
  <cp:lastPrinted>2018-06-11T07:22:00Z</cp:lastPrinted>
  <dcterms:created xsi:type="dcterms:W3CDTF">2023-06-05T10:05:00Z</dcterms:created>
  <dcterms:modified xsi:type="dcterms:W3CDTF">2024-05-02T14:04:00Z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