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222315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B66D2">
            <w:rPr>
              <w:rFonts w:asciiTheme="minorHAnsi" w:hAnsiTheme="minorHAnsi" w:cs="Arial"/>
              <w:b/>
              <w:sz w:val="20"/>
              <w:szCs w:val="20"/>
            </w:rPr>
            <w:t>GST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="00BC6741">
            <w:rPr>
              <w:rFonts w:ascii="Sylfaen" w:hAnsi="Sylfaen" w:cs="Sylfaen"/>
              <w:b/>
              <w:sz w:val="20"/>
              <w:szCs w:val="20"/>
              <w:lang w:val="ka-GE"/>
            </w:rPr>
            <w:t>შენობის დემონტაჟის</w:t>
          </w:r>
          <w:r w:rsidR="006560D5">
            <w:rPr>
              <w:rFonts w:ascii="Sylfaen" w:hAnsi="Sylfaen" w:cs="Sylfaen"/>
              <w:b/>
              <w:sz w:val="20"/>
              <w:szCs w:val="20"/>
              <w:lang w:val="ka-GE"/>
            </w:rPr>
            <w:t xml:space="preserve"> მომსახურების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="006560D5">
            <w:rPr>
              <w:rFonts w:ascii="Sylfaen" w:hAnsi="Sylfaen" w:cs="Arial"/>
              <w:b/>
              <w:sz w:val="20"/>
              <w:szCs w:val="20"/>
              <w:lang w:val="ka-GE"/>
            </w:rPr>
            <w:t xml:space="preserve">შესყიდვის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</w:t>
          </w:r>
          <w:r w:rsidR="00BC6741">
            <w:rPr>
              <w:rFonts w:asciiTheme="minorHAnsi" w:hAnsiTheme="minorHAnsi"/>
              <w:b/>
              <w:color w:val="000000"/>
              <w:sz w:val="20"/>
              <w:szCs w:val="20"/>
            </w:rPr>
            <w:t>10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22579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B66D2">
        <w:rPr>
          <w:rFonts w:asciiTheme="minorHAnsi" w:hAnsiTheme="minorHAnsi" w:cs="Arial"/>
          <w:b/>
          <w:sz w:val="20"/>
          <w:szCs w:val="20"/>
        </w:rPr>
        <w:t xml:space="preserve">GST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560D5"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="006560D5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BC6741">
        <w:rPr>
          <w:rFonts w:ascii="Sylfaen" w:hAnsi="Sylfaen" w:cs="Sylfaen"/>
          <w:b/>
          <w:sz w:val="20"/>
          <w:szCs w:val="20"/>
          <w:lang w:val="ka-GE"/>
        </w:rPr>
        <w:t>შენობის დემონტაჯის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 xml:space="preserve">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</w:t>
      </w:r>
      <w:r w:rsidR="00BC6741">
        <w:rPr>
          <w:rFonts w:asciiTheme="minorHAnsi" w:hAnsiTheme="minorHAnsi"/>
          <w:b/>
          <w:color w:val="000000"/>
          <w:sz w:val="20"/>
          <w:szCs w:val="20"/>
        </w:rPr>
        <w:t>10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B3543E" w:rsidRPr="00BC6741" w:rsidRDefault="00B3543E" w:rsidP="00BC6741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r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BC6741">
        <w:rPr>
          <w:rFonts w:ascii="Sylfaen" w:hAnsi="Sylfaen" w:cs="Sylfaen"/>
          <w:b/>
          <w:sz w:val="20"/>
          <w:szCs w:val="20"/>
          <w:lang w:val="ka-GE"/>
        </w:rPr>
        <w:t>შენობის დემონტაჟის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 xml:space="preserve">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  <w:r w:rsidR="00BC674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და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BC6741">
        <w:rPr>
          <w:rFonts w:ascii="AcadNusx" w:hAnsi="AcadNusx"/>
          <w:sz w:val="20"/>
          <w:szCs w:val="20"/>
        </w:rPr>
        <w:t xml:space="preserve"> (</w:t>
      </w:r>
      <w:proofErr w:type="spellStart"/>
      <w:r w:rsidRPr="00BC6741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BC6741">
        <w:rPr>
          <w:rFonts w:ascii="Sylfaen" w:hAnsi="Sylfaen" w:cs="Sylfaen"/>
          <w:sz w:val="20"/>
          <w:szCs w:val="20"/>
        </w:rPr>
        <w:t>ხერჯთ</w:t>
      </w:r>
      <w:r w:rsidRPr="00BC6741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BC6741">
        <w:rPr>
          <w:rFonts w:ascii="AcadNusx" w:hAnsi="AcadNusx"/>
          <w:sz w:val="20"/>
          <w:szCs w:val="20"/>
        </w:rPr>
        <w:t xml:space="preserve"> </w:t>
      </w:r>
      <w:proofErr w:type="spellStart"/>
      <w:r w:rsidRPr="00BC6741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BC6741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7B2900">
        <w:rPr>
          <w:rFonts w:asciiTheme="minorHAnsi" w:hAnsiTheme="minorHAnsi" w:cstheme="minorHAnsi"/>
          <w:b/>
          <w:color w:val="000000"/>
          <w:sz w:val="20"/>
          <w:szCs w:val="20"/>
        </w:rPr>
        <w:t>G-0</w:t>
      </w:r>
      <w:r w:rsidR="00BC6741"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7B66D2" w:rsidRPr="00BC6741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1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C6741">
        <w:rPr>
          <w:rFonts w:ascii="Sylfaen" w:hAnsi="Sylfaen" w:cs="Sylfaen"/>
          <w:b/>
          <w:sz w:val="20"/>
          <w:szCs w:val="20"/>
          <w:lang w:val="ka-GE"/>
        </w:rPr>
        <w:t>შენობის დემონტაჟი</w:t>
      </w:r>
    </w:p>
    <w:p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7B66D2" w:rsidRDefault="00BC6741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შენობის</w:t>
      </w:r>
      <w:r w:rsidR="00EF2259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0CB1">
        <w:rPr>
          <w:rStyle w:val="Heading2Char"/>
          <w:rFonts w:ascii="Sylfaen" w:hAnsi="Sylfaen" w:cs="Sylfaen"/>
          <w:color w:val="auto"/>
          <w:sz w:val="20"/>
          <w:szCs w:val="20"/>
        </w:rPr>
        <w:t>ადგილმდებარეობა</w:t>
      </w:r>
      <w:proofErr w:type="spellEnd"/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="Sylfaen" w:eastAsiaTheme="majorEastAsia" w:hAnsi="Sylfaen" w:cs="Sylfaen"/>
          <w:sz w:val="20"/>
          <w:szCs w:val="20"/>
          <w:lang w:val="ka-GE"/>
        </w:rPr>
        <w:t>გარდაბანი</w:t>
      </w:r>
      <w:r w:rsidR="00FE355D" w:rsidRPr="007B66D2">
        <w:rPr>
          <w:rFonts w:ascii="Sylfaen" w:eastAsiaTheme="majorEastAsia" w:hAnsi="Sylfaen" w:cs="Sylfaen"/>
          <w:sz w:val="20"/>
          <w:szCs w:val="20"/>
          <w:lang w:val="ka-GE"/>
        </w:rPr>
        <w:t>.</w:t>
      </w:r>
    </w:p>
    <w:p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</w:p>
    <w:p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2900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B627CF">
        <w:rPr>
          <w:rFonts w:ascii="Sylfaen" w:hAnsi="Sylfaen" w:cstheme="minorHAnsi"/>
          <w:b/>
          <w:sz w:val="20"/>
          <w:szCs w:val="20"/>
        </w:rPr>
        <w:t>7</w:t>
      </w:r>
      <w:r w:rsidR="007B2900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C6741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1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</w:t>
      </w:r>
      <w:r w:rsidR="00594776">
        <w:rPr>
          <w:rFonts w:ascii="Sylfaen" w:hAnsi="Sylfaen" w:cs="Calibri"/>
          <w:b/>
          <w:sz w:val="20"/>
          <w:szCs w:val="20"/>
          <w:lang w:val="ka-GE"/>
        </w:rPr>
        <w:t xml:space="preserve"> საკონტაქტო პირები</w:t>
      </w:r>
      <w:r>
        <w:rPr>
          <w:rFonts w:ascii="Sylfaen" w:hAnsi="Sylfaen" w:cs="Calibri"/>
          <w:b/>
          <w:sz w:val="20"/>
          <w:szCs w:val="20"/>
          <w:lang w:val="ka-GE"/>
        </w:rPr>
        <w:t>:</w:t>
      </w:r>
    </w:p>
    <w:p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594776" w:rsidRPr="00594776" w:rsidRDefault="00594776" w:rsidP="00594776">
      <w:pPr>
        <w:spacing w:after="0" w:line="240" w:lineRule="auto"/>
        <w:rPr>
          <w:rFonts w:ascii="Sylfaen" w:hAnsi="Sylfaen" w:cs="Sylfaen"/>
          <w:sz w:val="24"/>
          <w:szCs w:val="24"/>
          <w:u w:val="single"/>
          <w:lang w:val="ka-GE"/>
        </w:rPr>
      </w:pPr>
      <w:r w:rsidRPr="00594776">
        <w:rPr>
          <w:rFonts w:ascii="Sylfaen" w:hAnsi="Sylfaen" w:cs="Sylfaen"/>
          <w:sz w:val="24"/>
          <w:szCs w:val="24"/>
          <w:u w:val="single"/>
          <w:lang w:val="ka-GE"/>
        </w:rPr>
        <w:t>თორნიკე კვინტრაძე - 599 568 722</w:t>
      </w:r>
      <w:bookmarkStart w:id="2" w:name="_GoBack"/>
      <w:bookmarkEnd w:id="2"/>
    </w:p>
    <w:p w:rsidR="00594776" w:rsidRPr="00594776" w:rsidRDefault="00594776" w:rsidP="00594776">
      <w:pPr>
        <w:spacing w:after="0" w:line="240" w:lineRule="auto"/>
        <w:rPr>
          <w:rFonts w:cs="Calibri"/>
          <w:sz w:val="24"/>
          <w:szCs w:val="24"/>
          <w:u w:val="single"/>
          <w:lang w:val="ka-GE"/>
        </w:rPr>
      </w:pPr>
      <w:r w:rsidRPr="00594776">
        <w:rPr>
          <w:rFonts w:ascii="Sylfaen" w:hAnsi="Sylfaen" w:cs="Sylfaen"/>
          <w:sz w:val="24"/>
          <w:szCs w:val="24"/>
          <w:u w:val="single"/>
          <w:lang w:val="ka-GE"/>
        </w:rPr>
        <w:t>გიორგი</w:t>
      </w:r>
      <w:r w:rsidRPr="00594776">
        <w:rPr>
          <w:rFonts w:cs="Calibri"/>
          <w:sz w:val="24"/>
          <w:szCs w:val="24"/>
          <w:u w:val="single"/>
          <w:lang w:val="ka-GE"/>
        </w:rPr>
        <w:t xml:space="preserve"> </w:t>
      </w:r>
      <w:r w:rsidRPr="00594776">
        <w:rPr>
          <w:rFonts w:ascii="Sylfaen" w:hAnsi="Sylfaen" w:cs="Sylfaen"/>
          <w:sz w:val="24"/>
          <w:szCs w:val="24"/>
          <w:u w:val="single"/>
          <w:lang w:val="ka-GE"/>
        </w:rPr>
        <w:t>მგელაძე</w:t>
      </w:r>
      <w:r w:rsidRPr="00594776">
        <w:rPr>
          <w:rFonts w:cs="Calibri"/>
          <w:sz w:val="24"/>
          <w:szCs w:val="24"/>
          <w:u w:val="single"/>
          <w:lang w:val="ka-GE"/>
        </w:rPr>
        <w:t xml:space="preserve"> - 595009025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მიხეილ იაშაღაშვილი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945B95">
          <w:rPr>
            <w:rStyle w:val="Hyperlink"/>
            <w:rFonts w:cs="Calibri"/>
            <w:sz w:val="20"/>
            <w:szCs w:val="20"/>
            <w:lang w:val="ka-GE"/>
          </w:rPr>
          <w:t>miashagh</w:t>
        </w:r>
        <w:r w:rsidRPr="00945B95">
          <w:rPr>
            <w:rStyle w:val="Hyperlink"/>
            <w:rFonts w:cs="Calibri"/>
            <w:sz w:val="20"/>
            <w:szCs w:val="20"/>
          </w:rPr>
          <w:t>ashvili</w:t>
        </w:r>
        <w:r w:rsidRPr="00945B95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7B0CB1" w:rsidRPr="004014FF" w:rsidRDefault="007B0CB1" w:rsidP="007B0CB1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>593 903233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6560D5" w:rsidRDefault="006560D5" w:rsidP="006560D5"/>
    <w:p w:rsidR="006560D5" w:rsidRPr="006560D5" w:rsidRDefault="006560D5" w:rsidP="006560D5"/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lastRenderedPageBreak/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შპს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Default="00A948F9" w:rsidP="008D2BFD">
      <w:pPr>
        <w:rPr>
          <w:rFonts w:ascii="AcadMtavr" w:hAnsi="AcadMtavr"/>
          <w:sz w:val="20"/>
          <w:szCs w:val="20"/>
        </w:rPr>
      </w:pPr>
    </w:p>
    <w:p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lastRenderedPageBreak/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B3543E" w:rsidP="008D2BFD">
      <w:pPr>
        <w:rPr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t>შპს</w:t>
      </w:r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9F" w:rsidRDefault="0022579F" w:rsidP="007902EA">
      <w:pPr>
        <w:spacing w:after="0" w:line="240" w:lineRule="auto"/>
      </w:pPr>
      <w:r>
        <w:separator/>
      </w:r>
    </w:p>
  </w:endnote>
  <w:endnote w:type="continuationSeparator" w:id="0">
    <w:p w:rsidR="0022579F" w:rsidRDefault="0022579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9F" w:rsidRDefault="0022579F" w:rsidP="007902EA">
      <w:pPr>
        <w:spacing w:after="0" w:line="240" w:lineRule="auto"/>
      </w:pPr>
      <w:r>
        <w:separator/>
      </w:r>
    </w:p>
  </w:footnote>
  <w:footnote w:type="continuationSeparator" w:id="0">
    <w:p w:rsidR="0022579F" w:rsidRDefault="0022579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5" w:rsidRDefault="00BC6741" w:rsidP="00BC6741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87EEDB0" wp14:editId="487149DC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520">
      <w:rPr>
        <w:rFonts w:ascii="Sylfaen" w:hAnsi="Sylfaen"/>
        <w:noProof/>
        <w:lang w:val="ka-GE"/>
      </w:rPr>
      <w:t xml:space="preserve">            </w:t>
    </w:r>
    <w:r w:rsidR="006560D5">
      <w:rPr>
        <w:rFonts w:ascii="Sylfaen" w:hAnsi="Sylfaen" w:cs="Sylfaen"/>
        <w:b/>
        <w:bCs/>
        <w:sz w:val="28"/>
        <w:szCs w:val="28"/>
        <w:lang w:val="ka-GE"/>
      </w:rPr>
      <w:t>კონკურსი</w:t>
    </w:r>
    <w:r w:rsidR="006560D5" w:rsidRPr="00B2491E">
      <w:rPr>
        <w:rFonts w:ascii="Sylfaen" w:hAnsi="Sylfaen" w:cs="Sylfaen"/>
        <w:b/>
        <w:bCs/>
        <w:sz w:val="28"/>
        <w:szCs w:val="28"/>
        <w:lang w:val="ka-GE"/>
      </w:rPr>
      <w:t xml:space="preserve"> </w:t>
    </w:r>
    <w:r>
      <w:rPr>
        <w:rFonts w:ascii="Sylfaen" w:hAnsi="Sylfaen" w:cs="Sylfaen"/>
        <w:b/>
        <w:bCs/>
        <w:sz w:val="28"/>
        <w:szCs w:val="28"/>
        <w:lang w:val="ka-GE"/>
      </w:rPr>
      <w:t>შენობის დემონტაჟის</w:t>
    </w:r>
    <w:r w:rsidR="006560D5" w:rsidRPr="00B2491E">
      <w:rPr>
        <w:rFonts w:ascii="Sylfaen" w:hAnsi="Sylfaen" w:cs="Sylfaen"/>
        <w:b/>
        <w:bCs/>
        <w:sz w:val="28"/>
        <w:szCs w:val="28"/>
        <w:lang w:val="ka-GE"/>
      </w:rPr>
      <w:t xml:space="preserve"> </w:t>
    </w:r>
    <w:r>
      <w:rPr>
        <w:rFonts w:ascii="Sylfaen" w:hAnsi="Sylfaen" w:cs="Sylfaen"/>
        <w:b/>
        <w:bCs/>
        <w:sz w:val="28"/>
        <w:szCs w:val="28"/>
        <w:lang w:val="ka-GE"/>
      </w:rPr>
      <w:t>მომსახურების</w:t>
    </w:r>
    <w:r w:rsidR="007A6520">
      <w:rPr>
        <w:rFonts w:ascii="Sylfaen" w:hAnsi="Sylfaen" w:cs="Sylfaen"/>
        <w:b/>
        <w:bCs/>
        <w:sz w:val="28"/>
        <w:szCs w:val="28"/>
        <w:lang w:val="ka-GE"/>
      </w:rPr>
      <w:t xml:space="preserve">               </w:t>
    </w:r>
    <w:r w:rsidR="006560D5">
      <w:rPr>
        <w:rFonts w:ascii="Sylfaen" w:hAnsi="Sylfaen" w:cs="Sylfaen"/>
        <w:b/>
        <w:bCs/>
        <w:sz w:val="28"/>
        <w:szCs w:val="28"/>
        <w:lang w:val="ka-GE"/>
      </w:rPr>
      <w:t>შესყიდვის თაობაზე</w:t>
    </w: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2579F"/>
    <w:rsid w:val="002301F5"/>
    <w:rsid w:val="00237416"/>
    <w:rsid w:val="00241768"/>
    <w:rsid w:val="0025658B"/>
    <w:rsid w:val="002630EB"/>
    <w:rsid w:val="00266CA0"/>
    <w:rsid w:val="00270FA1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1479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477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6520"/>
    <w:rsid w:val="007A7424"/>
    <w:rsid w:val="007B0CB1"/>
    <w:rsid w:val="007B2900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165F2"/>
    <w:rsid w:val="00B21412"/>
    <w:rsid w:val="00B23313"/>
    <w:rsid w:val="00B3543E"/>
    <w:rsid w:val="00B42689"/>
    <w:rsid w:val="00B627CF"/>
    <w:rsid w:val="00B70A33"/>
    <w:rsid w:val="00B74585"/>
    <w:rsid w:val="00B830F8"/>
    <w:rsid w:val="00B942E0"/>
    <w:rsid w:val="00B96FB7"/>
    <w:rsid w:val="00BC0803"/>
    <w:rsid w:val="00BC364F"/>
    <w:rsid w:val="00BC6741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2259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83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1A0F9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shagh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5C6B-659F-4FE4-A867-438D7215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Mikheil Iashaghashvili</cp:lastModifiedBy>
  <cp:revision>87</cp:revision>
  <cp:lastPrinted>2016-06-17T13:25:00Z</cp:lastPrinted>
  <dcterms:created xsi:type="dcterms:W3CDTF">2016-07-21T15:20:00Z</dcterms:created>
  <dcterms:modified xsi:type="dcterms:W3CDTF">2018-08-09T05:52:00Z</dcterms:modified>
</cp:coreProperties>
</file>