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169CB0D8" w:rsidR="00162B72" w:rsidRPr="007C5AE6" w:rsidRDefault="00162B72" w:rsidP="004123B0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75C41083" w:rsidR="00162B72" w:rsidRPr="001D6181" w:rsidRDefault="001D6181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 xml:space="preserve">23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მაისი</w:t>
                                      </w:r>
                                    </w:p>
                                    <w:p w14:paraId="5273460A" w14:textId="39F6B9DA" w:rsidR="00D116F0" w:rsidRPr="0076770A" w:rsidRDefault="001D6181" w:rsidP="004123B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30 მაისი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1234030D" w:rsidR="00162B72" w:rsidRDefault="001D6181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სადუნიშვილი</w:t>
                                      </w:r>
                                    </w:p>
                                    <w:p w14:paraId="78FE9C4B" w14:textId="018F4103" w:rsidR="00D116F0" w:rsidRDefault="0085587A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169CB0D8" w:rsidR="00162B72" w:rsidRPr="007C5AE6" w:rsidRDefault="00162B72" w:rsidP="004123B0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75C41083" w:rsidR="00162B72" w:rsidRPr="001D6181" w:rsidRDefault="001D6181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 xml:space="preserve">23 </w:t>
                                </w:r>
                                <w:r>
                                  <w:rPr>
                                    <w:lang w:val="ka-GE"/>
                                  </w:rPr>
                                  <w:t>მაისი</w:t>
                                </w:r>
                              </w:p>
                              <w:p w14:paraId="5273460A" w14:textId="39F6B9DA" w:rsidR="00D116F0" w:rsidRPr="0076770A" w:rsidRDefault="001D6181" w:rsidP="004123B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30 მაისი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1234030D" w:rsidR="00162B72" w:rsidRDefault="001D6181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სადუნიშვილი</w:t>
                                </w:r>
                              </w:p>
                              <w:p w14:paraId="78FE9C4B" w14:textId="018F4103" w:rsidR="00D116F0" w:rsidRDefault="0085587A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B5C90ED" w:rsidR="00162B72" w:rsidRPr="0085587A" w:rsidRDefault="0085587A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72"/>
                                    <w:szCs w:val="56"/>
                                  </w:rPr>
                                </w:pPr>
                                <w:bookmarkStart w:id="0" w:name="_GoBack"/>
                                <w:r w:rsidRPr="0085587A"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 xml:space="preserve">ელექტროობის, კომპიუტერული ქსელისა და სუსტი დენების პროექტის </w:t>
                                </w:r>
                                <w:r w:rsidRPr="0085587A"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>მომზადება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2B5C90ED" w:rsidR="00162B72" w:rsidRPr="0085587A" w:rsidRDefault="0085587A" w:rsidP="00342FB7">
                          <w:pPr>
                            <w:rPr>
                              <w:b/>
                              <w:color w:val="E36C0A" w:themeColor="accent6" w:themeShade="BF"/>
                              <w:sz w:val="72"/>
                              <w:szCs w:val="56"/>
                            </w:rPr>
                          </w:pPr>
                          <w:bookmarkStart w:id="1" w:name="_GoBack"/>
                          <w:r w:rsidRPr="0085587A"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 xml:space="preserve">ელექტროობის, კომპიუტერული ქსელისა და სუსტი დენების პროექტის </w:t>
                          </w:r>
                          <w:r w:rsidRPr="0085587A"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>მომზადება</w:t>
                          </w:r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8558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85587A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350C8E85" w14:textId="77777777" w:rsidR="008B59D8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8B59D8">
        <w:rPr>
          <w:rFonts w:eastAsiaTheme="minorEastAsia"/>
          <w:lang w:val="ka-GE" w:eastAsia="ja-JP"/>
        </w:rPr>
        <w:t>ელექტროობის</w:t>
      </w:r>
      <w:r w:rsidR="001D6181">
        <w:rPr>
          <w:rFonts w:eastAsiaTheme="minorEastAsia"/>
          <w:lang w:val="ka-GE" w:eastAsia="ja-JP"/>
        </w:rPr>
        <w:t>, კომპიუტერული ქსელისა და სუსტი დენების პროექტ</w:t>
      </w:r>
      <w:r w:rsidR="008B59D8">
        <w:rPr>
          <w:rFonts w:eastAsiaTheme="minorEastAsia"/>
          <w:lang w:val="ka-GE" w:eastAsia="ja-JP"/>
        </w:rPr>
        <w:t xml:space="preserve">ის მომზადებაზე. </w:t>
      </w:r>
    </w:p>
    <w:p w14:paraId="32C1662B" w14:textId="77777777" w:rsidR="008B59D8" w:rsidRDefault="008B59D8" w:rsidP="0038278C">
      <w:pPr>
        <w:rPr>
          <w:rFonts w:eastAsiaTheme="minorEastAsia"/>
          <w:lang w:val="ka-GE" w:eastAsia="ja-JP"/>
        </w:rPr>
      </w:pPr>
    </w:p>
    <w:p w14:paraId="0CF03400" w14:textId="5F68FFC7" w:rsidR="000D19A9" w:rsidRDefault="008B59D8" w:rsidP="0038278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პროექტის მომზადება გულისხმობს ბანკის მიერ კომპანიისთვის მიწოდებული ობიექტის განლაგების ნახაზის მიხედვით, </w:t>
      </w:r>
      <w:r w:rsidR="001D6181">
        <w:rPr>
          <w:rFonts w:eastAsiaTheme="minorEastAsia"/>
          <w:lang w:val="ka-GE" w:eastAsia="ja-JP"/>
        </w:rPr>
        <w:t xml:space="preserve"> </w:t>
      </w:r>
      <w:r>
        <w:rPr>
          <w:rFonts w:eastAsiaTheme="minorEastAsia"/>
          <w:lang w:val="ka-GE" w:eastAsia="ja-JP"/>
        </w:rPr>
        <w:t xml:space="preserve">ელექტროობის, კომპიუტერული ქსელისა და სუსტი დენის პროექტის მომზადებას შესაბამისი მასალების სპეციფიკაციებით. პროექტირებისა და სპეციფიკაციების მომზადების პროცესში ბანკის მხრიდან ჩაერთვება ენერგეტიკოსი. თითოეული პროექტისა და სპეციფიკაციების წარმოდგენის ვადა არაუმეტეს 14 (თოთხმეტი) სამუშაო დღისა. </w:t>
      </w:r>
    </w:p>
    <w:p w14:paraId="5A296FB9" w14:textId="77777777" w:rsidR="00FC59FF" w:rsidRDefault="00FC59FF" w:rsidP="0038278C">
      <w:pPr>
        <w:rPr>
          <w:rFonts w:eastAsiaTheme="minorEastAsia"/>
          <w:lang w:val="ka-GE" w:eastAsia="ja-JP"/>
        </w:rPr>
      </w:pPr>
    </w:p>
    <w:p w14:paraId="20095815" w14:textId="7658F924" w:rsidR="00FC59FF" w:rsidRPr="00FC59FF" w:rsidRDefault="00FC59FF" w:rsidP="0038278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ტენდერის მიზანია, რომ კომპანიასთან გაფორმდეს გენერალური ხელშეკრულება 12 (თორმეტი) თვის ვადით, რომლის ფარგლებშიც კომპანია ბანკს საპროექტო მომსახურებას გაუწევს ყველა ობიექტზე (საორიენტაციო მოცულობა - 15 ობიექტი წლის ჭრილში). ზედამხედველობითი სამუშაოები ჩატარდება ბანკის მოთხოვნისა და საჭიროების მიხედვით.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5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534810151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7" w:name="_Toc534810154"/>
      <w:r>
        <w:t>ანგარიშსწორების პირობა</w:t>
      </w:r>
      <w:bookmarkEnd w:id="7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4E5AD75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</w:t>
      </w:r>
      <w:r w:rsidR="0076770A">
        <w:rPr>
          <w:lang w:val="ka-GE"/>
        </w:rPr>
        <w:t>ბის პირობების განხილვა მოხდება პირადად გამ</w:t>
      </w:r>
      <w:r w:rsidR="00FC59FF">
        <w:rPr>
          <w:lang w:val="ka-GE"/>
        </w:rPr>
        <w:t>ა</w:t>
      </w:r>
      <w:r w:rsidR="0076770A">
        <w:rPr>
          <w:lang w:val="ka-GE"/>
        </w:rPr>
        <w:t xml:space="preserve">რჯვებულ კომპანიასთან. 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8" w:name="_Toc534810155"/>
      <w:bookmarkEnd w:id="5"/>
      <w:r>
        <w:t xml:space="preserve">სატენდერო </w:t>
      </w:r>
      <w:r w:rsidR="00605399">
        <w:t>მოთხოვნები</w:t>
      </w:r>
      <w:bookmarkEnd w:id="8"/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15E19A4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156371CD" w14:textId="2311714F" w:rsidR="0076770A" w:rsidRPr="0076770A" w:rsidRDefault="003A756C" w:rsidP="002613AC">
      <w:pPr>
        <w:rPr>
          <w:rFonts w:eastAsiaTheme="minorEastAsia"/>
          <w:b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lastRenderedPageBreak/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29622739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FC59FF">
        <w:rPr>
          <w:lang w:val="ka-GE"/>
        </w:rPr>
        <w:t>5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9" w:name="_Toc534810156"/>
      <w:r>
        <w:t>დამატებითი ინფორმაცი</w:t>
      </w:r>
      <w:bookmarkEnd w:id="9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52B03434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0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0"/>
    </w:p>
    <w:p w14:paraId="06B2F0FE" w14:textId="5F1BD493" w:rsidR="00DF6F0D" w:rsidRDefault="00E3757A" w:rsidP="00E3757A">
      <w:pPr>
        <w:pStyle w:val="a"/>
      </w:pPr>
      <w:bookmarkStart w:id="11" w:name="_Toc534810159"/>
      <w:r>
        <w:t>დანართი 1: ფასების ცხრილი</w:t>
      </w:r>
      <w:bookmarkEnd w:id="11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003"/>
        <w:gridCol w:w="3605"/>
        <w:gridCol w:w="1604"/>
        <w:gridCol w:w="1188"/>
      </w:tblGrid>
      <w:tr w:rsidR="0076770A" w:rsidRPr="0076770A" w14:paraId="15313166" w14:textId="77777777" w:rsidTr="0034677B">
        <w:trPr>
          <w:trHeight w:val="30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F48935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40A3CC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D8B861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განზომილება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2630F7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ერთ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</w:tr>
      <w:tr w:rsidR="0076770A" w:rsidRPr="0076770A" w14:paraId="2601B859" w14:textId="77777777" w:rsidTr="0034677B">
        <w:trPr>
          <w:trHeight w:val="18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C57" w14:textId="0F67C023" w:rsidR="0076770A" w:rsidRPr="00FC59FF" w:rsidRDefault="00FC59FF" w:rsidP="00FC59FF">
            <w:pP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დენის, კომპიუტერული ქსელის და სუსტი დენის პროექტის მომზადება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79F" w14:textId="0E7DF3A9" w:rsidR="0076770A" w:rsidRPr="00FC59FF" w:rsidRDefault="00FC59FF" w:rsidP="007677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შესაბამისი სპეციფიკაციებით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336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E27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6770A" w:rsidRPr="0076770A" w14:paraId="33C2F769" w14:textId="77777777" w:rsidTr="0034677B">
        <w:trPr>
          <w:trHeight w:val="12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16E" w14:textId="2A3C90A4" w:rsidR="0076770A" w:rsidRPr="00FC59FF" w:rsidRDefault="00FC59FF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ზედამხედველობი</w:t>
            </w:r>
            <w:r w:rsidR="0034677B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თი სამუშაოები (მოთხოვნის შემთხვევაში)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D4C" w14:textId="09C0C29C" w:rsidR="0076770A" w:rsidRPr="0076770A" w:rsidRDefault="0034677B" w:rsidP="0034677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დენის, კომპიუტერული ქსელის და სუსტი დენის სამუშოების ჭრილში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943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236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2" w:name="_Toc534810160"/>
      <w:r w:rsidR="0016141B">
        <w:lastRenderedPageBreak/>
        <w:t>დანართი 2: საბანკო რეკვიზიტები</w:t>
      </w:r>
      <w:bookmarkEnd w:id="12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4CCF8AE7" w:rsidR="00342FB7" w:rsidRPr="004123B0" w:rsidRDefault="00342FB7" w:rsidP="004123B0">
      <w:pPr>
        <w:pStyle w:val="a0"/>
        <w:numPr>
          <w:ilvl w:val="0"/>
          <w:numId w:val="0"/>
        </w:numPr>
        <w:ind w:left="360" w:hanging="360"/>
        <w:rPr>
          <w:b/>
          <w:bCs w:val="0"/>
          <w:color w:val="FF671B"/>
          <w:sz w:val="24"/>
          <w:lang w:val="ka-GE"/>
        </w:rPr>
      </w:pPr>
    </w:p>
    <w:sectPr w:rsidR="00342FB7" w:rsidRPr="004123B0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5587A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5587A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181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77B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3B0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0A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587A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59D8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3449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3D41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263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59FF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49CF1-FF71-4C6A-ABD5-FB4389CA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45</cp:revision>
  <cp:lastPrinted>2018-12-25T15:48:00Z</cp:lastPrinted>
  <dcterms:created xsi:type="dcterms:W3CDTF">2018-12-26T16:22:00Z</dcterms:created>
  <dcterms:modified xsi:type="dcterms:W3CDTF">2019-05-22T14:27:00Z</dcterms:modified>
</cp:coreProperties>
</file>